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676" w:rsidRPr="00AE5C99" w:rsidRDefault="00580B3D" w:rsidP="00AE5C99">
      <w:pPr>
        <w:spacing w:after="0" w:line="240" w:lineRule="auto"/>
        <w:jc w:val="center"/>
        <w:rPr>
          <w:rFonts w:ascii="Arial" w:hAnsi="Arial" w:cs="Arial"/>
          <w:noProof/>
          <w:lang w:val="sr-Latn-CS"/>
        </w:rPr>
      </w:pPr>
      <w:r w:rsidRPr="00AE5C99">
        <w:rPr>
          <w:rFonts w:ascii="Arial" w:hAnsi="Arial" w:cs="Arial"/>
          <w:noProof/>
        </w:rPr>
        <w:drawing>
          <wp:inline distT="0" distB="0" distL="0" distR="0" wp14:anchorId="6157ACB8" wp14:editId="7B8A029B">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2E4676" w:rsidRPr="00AE5C99" w:rsidRDefault="002E4676" w:rsidP="00AE5C99">
      <w:pPr>
        <w:pStyle w:val="Heading1"/>
        <w:ind w:left="882"/>
        <w:rPr>
          <w:b w:val="0"/>
          <w:noProof/>
          <w:lang w:val="sr-Latn-CS"/>
        </w:rPr>
      </w:pPr>
    </w:p>
    <w:p w:rsidR="002E4676" w:rsidRPr="00AE5C99" w:rsidRDefault="002E4676" w:rsidP="00AE5C99">
      <w:pPr>
        <w:spacing w:after="0" w:line="240" w:lineRule="auto"/>
        <w:rPr>
          <w:rFonts w:ascii="Arial" w:hAnsi="Arial" w:cs="Arial"/>
          <w:noProof/>
          <w:lang w:val="sr-Latn-CS"/>
        </w:rPr>
      </w:pPr>
    </w:p>
    <w:p w:rsidR="002E4676" w:rsidRPr="00AE5C99" w:rsidRDefault="002E4676" w:rsidP="00AE5C99">
      <w:pPr>
        <w:spacing w:after="0" w:line="240" w:lineRule="auto"/>
        <w:rPr>
          <w:rFonts w:ascii="Arial" w:hAnsi="Arial" w:cs="Arial"/>
          <w:noProof/>
          <w:lang w:val="sr-Latn-CS"/>
        </w:rPr>
      </w:pPr>
    </w:p>
    <w:p w:rsidR="002E4676" w:rsidRPr="00AE5C99" w:rsidRDefault="002E4676" w:rsidP="00AE5C99">
      <w:pPr>
        <w:spacing w:after="0" w:line="240" w:lineRule="auto"/>
        <w:rPr>
          <w:rFonts w:ascii="Arial" w:hAnsi="Arial" w:cs="Arial"/>
          <w:b/>
          <w:noProof/>
          <w:lang w:val="sr-Latn-CS"/>
        </w:rPr>
      </w:pPr>
    </w:p>
    <w:p w:rsidR="00EB65AE" w:rsidRPr="000B41D2" w:rsidRDefault="00EB65AE" w:rsidP="00EB65AE">
      <w:pPr>
        <w:spacing w:after="0" w:line="240" w:lineRule="auto"/>
        <w:jc w:val="both"/>
        <w:rPr>
          <w:rFonts w:ascii="Arial" w:hAnsi="Arial" w:cs="Arial"/>
          <w:lang w:val="sr-Latn-CS"/>
        </w:rPr>
      </w:pPr>
      <w:r w:rsidRPr="000B41D2">
        <w:rPr>
          <w:rFonts w:ascii="Arial" w:hAnsi="Arial" w:cs="Arial"/>
          <w:lang w:val="sr-Latn-CS"/>
        </w:rPr>
        <w:t>Podgorica, 2</w:t>
      </w:r>
      <w:r w:rsidR="000B41D2" w:rsidRPr="000B41D2">
        <w:rPr>
          <w:rFonts w:ascii="Arial" w:hAnsi="Arial" w:cs="Arial"/>
          <w:lang w:val="sr-Latn-CS"/>
        </w:rPr>
        <w:t>7</w:t>
      </w:r>
      <w:r w:rsidRPr="000B41D2">
        <w:rPr>
          <w:rFonts w:ascii="Arial" w:hAnsi="Arial" w:cs="Arial"/>
          <w:lang w:val="sr-Latn-CS"/>
        </w:rPr>
        <w:t>. februar 2020.</w:t>
      </w:r>
    </w:p>
    <w:p w:rsidR="00EB65AE" w:rsidRPr="000B41D2" w:rsidRDefault="00EB65AE" w:rsidP="00EB65AE">
      <w:pPr>
        <w:spacing w:after="0" w:line="240" w:lineRule="auto"/>
        <w:jc w:val="both"/>
        <w:rPr>
          <w:rFonts w:ascii="Arial" w:eastAsia="Arial Unicode MS" w:hAnsi="Arial" w:cs="Arial"/>
          <w:noProof/>
          <w:kern w:val="2"/>
          <w:lang w:val="sr-Latn-CS"/>
        </w:rPr>
      </w:pPr>
      <w:r w:rsidRPr="000B41D2">
        <w:rPr>
          <w:rFonts w:ascii="Arial" w:hAnsi="Arial" w:cs="Arial"/>
          <w:lang w:val="sr-Latn-CS"/>
        </w:rPr>
        <w:t>Broj: 007-304/20-1</w:t>
      </w:r>
      <w:r w:rsidR="000B41D2" w:rsidRPr="000B41D2">
        <w:rPr>
          <w:rFonts w:ascii="Arial" w:hAnsi="Arial" w:cs="Arial"/>
          <w:lang w:val="sr-Latn-CS"/>
        </w:rPr>
        <w:t>301</w:t>
      </w:r>
      <w:r w:rsidRPr="000B41D2">
        <w:rPr>
          <w:rFonts w:ascii="Arial" w:hAnsi="Arial" w:cs="Arial"/>
          <w:lang w:val="sr-Latn-CS"/>
        </w:rPr>
        <w:t>/1</w:t>
      </w:r>
    </w:p>
    <w:p w:rsidR="00895829" w:rsidRPr="000B41D2" w:rsidRDefault="00895829" w:rsidP="00AE5C99">
      <w:pPr>
        <w:spacing w:after="0" w:line="240" w:lineRule="auto"/>
        <w:rPr>
          <w:rFonts w:ascii="Arial" w:hAnsi="Arial" w:cs="Arial"/>
          <w:noProof/>
          <w:lang w:val="sr-Latn-CS"/>
        </w:rPr>
      </w:pPr>
    </w:p>
    <w:p w:rsidR="00895829" w:rsidRPr="00AE5C99" w:rsidRDefault="00895829" w:rsidP="00AE5C99">
      <w:pPr>
        <w:spacing w:after="0" w:line="240" w:lineRule="auto"/>
        <w:rPr>
          <w:rFonts w:ascii="Arial" w:hAnsi="Arial" w:cs="Arial"/>
          <w:b/>
          <w:noProof/>
          <w:lang w:val="sr-Latn-CS"/>
        </w:rPr>
      </w:pPr>
    </w:p>
    <w:p w:rsidR="00895829" w:rsidRPr="00AE5C99" w:rsidRDefault="00895829" w:rsidP="00AE5C99">
      <w:pPr>
        <w:spacing w:after="0" w:line="240" w:lineRule="auto"/>
        <w:rPr>
          <w:rFonts w:ascii="Arial" w:hAnsi="Arial" w:cs="Arial"/>
          <w:b/>
          <w:noProof/>
          <w:lang w:val="sr-Latn-CS"/>
        </w:rPr>
      </w:pPr>
    </w:p>
    <w:p w:rsidR="00735D9E" w:rsidRPr="00AE5C99" w:rsidRDefault="00735D9E" w:rsidP="00AE5C99">
      <w:pPr>
        <w:spacing w:after="0" w:line="240" w:lineRule="auto"/>
        <w:rPr>
          <w:rFonts w:ascii="Arial" w:hAnsi="Arial" w:cs="Arial"/>
          <w:b/>
          <w:noProof/>
          <w:lang w:val="sr-Latn-CS"/>
        </w:rPr>
      </w:pPr>
    </w:p>
    <w:p w:rsidR="00735D9E" w:rsidRPr="00AE5C99" w:rsidRDefault="00735D9E" w:rsidP="00AE5C99">
      <w:pPr>
        <w:spacing w:after="0" w:line="240" w:lineRule="auto"/>
        <w:rPr>
          <w:rFonts w:ascii="Arial" w:hAnsi="Arial" w:cs="Arial"/>
          <w:b/>
          <w:noProof/>
          <w:lang w:val="sr-Latn-CS"/>
        </w:rPr>
      </w:pPr>
    </w:p>
    <w:p w:rsidR="002E4676" w:rsidRPr="00AE5C99" w:rsidRDefault="00735D9E" w:rsidP="00AE5C99">
      <w:pPr>
        <w:spacing w:before="120" w:after="0" w:line="240" w:lineRule="auto"/>
        <w:jc w:val="center"/>
        <w:rPr>
          <w:rFonts w:ascii="Arial" w:hAnsi="Arial" w:cs="Arial"/>
          <w:b/>
          <w:noProof/>
          <w:lang w:val="sr-Latn-CS"/>
        </w:rPr>
      </w:pPr>
      <w:r w:rsidRPr="00AE5C99">
        <w:rPr>
          <w:rFonts w:ascii="Arial" w:hAnsi="Arial" w:cs="Arial"/>
          <w:b/>
          <w:noProof/>
          <w:lang w:val="sr-Latn-CS"/>
        </w:rPr>
        <w:t xml:space="preserve">K O N C E S I O N I </w:t>
      </w:r>
      <w:r w:rsidR="002E4676" w:rsidRPr="00AE5C99">
        <w:rPr>
          <w:rFonts w:ascii="Arial" w:hAnsi="Arial" w:cs="Arial"/>
          <w:b/>
          <w:noProof/>
          <w:lang w:val="sr-Latn-CS"/>
        </w:rPr>
        <w:t xml:space="preserve"> A K T</w:t>
      </w:r>
    </w:p>
    <w:p w:rsidR="00887D4C" w:rsidRPr="00AE5C99" w:rsidRDefault="002E4676" w:rsidP="00AE5C99">
      <w:pPr>
        <w:spacing w:before="120" w:after="0" w:line="240" w:lineRule="auto"/>
        <w:jc w:val="center"/>
        <w:rPr>
          <w:rFonts w:ascii="Arial" w:hAnsi="Arial" w:cs="Arial"/>
          <w:b/>
          <w:noProof/>
          <w:lang w:val="sr-Latn-CS"/>
        </w:rPr>
      </w:pPr>
      <w:r w:rsidRPr="00AE5C99">
        <w:rPr>
          <w:rFonts w:ascii="Arial" w:hAnsi="Arial" w:cs="Arial"/>
          <w:b/>
          <w:noProof/>
          <w:lang w:val="sr-Latn-CS"/>
        </w:rPr>
        <w:t>o mineraln</w:t>
      </w:r>
      <w:r w:rsidR="00A95855" w:rsidRPr="00AE5C99">
        <w:rPr>
          <w:rFonts w:ascii="Arial" w:hAnsi="Arial" w:cs="Arial"/>
          <w:b/>
          <w:noProof/>
          <w:lang w:val="sr-Latn-CS"/>
        </w:rPr>
        <w:t>oj</w:t>
      </w:r>
      <w:r w:rsidRPr="00AE5C99">
        <w:rPr>
          <w:rFonts w:ascii="Arial" w:hAnsi="Arial" w:cs="Arial"/>
          <w:b/>
          <w:noProof/>
          <w:lang w:val="sr-Latn-CS"/>
        </w:rPr>
        <w:t xml:space="preserve"> sirovin</w:t>
      </w:r>
      <w:r w:rsidR="00A95855" w:rsidRPr="00AE5C99">
        <w:rPr>
          <w:rFonts w:ascii="Arial" w:hAnsi="Arial" w:cs="Arial"/>
          <w:b/>
          <w:noProof/>
          <w:lang w:val="sr-Latn-CS"/>
        </w:rPr>
        <w:t>i</w:t>
      </w:r>
      <w:r w:rsidRPr="00AE5C99">
        <w:rPr>
          <w:rFonts w:ascii="Arial" w:hAnsi="Arial" w:cs="Arial"/>
          <w:b/>
          <w:noProof/>
          <w:lang w:val="sr-Latn-CS"/>
        </w:rPr>
        <w:t xml:space="preserve"> tehničko-građev</w:t>
      </w:r>
      <w:r w:rsidR="00D3636A" w:rsidRPr="00AE5C99">
        <w:rPr>
          <w:rFonts w:ascii="Arial" w:hAnsi="Arial" w:cs="Arial"/>
          <w:b/>
          <w:noProof/>
          <w:lang w:val="sr-Latn-CS"/>
        </w:rPr>
        <w:t xml:space="preserve">inskog kamena </w:t>
      </w:r>
      <w:r w:rsidR="00A95855" w:rsidRPr="00AE5C99">
        <w:rPr>
          <w:rFonts w:ascii="Arial" w:hAnsi="Arial" w:cs="Arial"/>
          <w:b/>
          <w:noProof/>
          <w:lang w:val="sr-Latn-CS"/>
        </w:rPr>
        <w:t xml:space="preserve">ležišta </w:t>
      </w:r>
      <w:r w:rsidR="005C75B7" w:rsidRPr="00AE5C99">
        <w:rPr>
          <w:rFonts w:ascii="Arial" w:hAnsi="Arial" w:cs="Arial"/>
          <w:b/>
          <w:noProof/>
          <w:lang w:val="sr-Latn-CS"/>
        </w:rPr>
        <w:t>„</w:t>
      </w:r>
      <w:r w:rsidR="001D297B" w:rsidRPr="00AE5C99">
        <w:rPr>
          <w:rFonts w:ascii="Arial" w:hAnsi="Arial" w:cs="Arial"/>
          <w:b/>
          <w:noProof/>
          <w:lang w:val="sr-Latn-CS"/>
        </w:rPr>
        <w:t>Velji Zabio”</w:t>
      </w:r>
      <w:r w:rsidR="0073163D" w:rsidRPr="00AE5C99">
        <w:rPr>
          <w:rFonts w:ascii="Arial" w:hAnsi="Arial" w:cs="Arial"/>
          <w:b/>
          <w:noProof/>
          <w:lang w:val="sr-Latn-CS"/>
        </w:rPr>
        <w:t xml:space="preserve">, </w:t>
      </w:r>
    </w:p>
    <w:p w:rsidR="002E4676" w:rsidRPr="00AE5C99" w:rsidRDefault="0073163D" w:rsidP="00AE5C99">
      <w:pPr>
        <w:spacing w:before="120" w:after="0" w:line="240" w:lineRule="auto"/>
        <w:jc w:val="center"/>
        <w:rPr>
          <w:rFonts w:ascii="Arial" w:hAnsi="Arial" w:cs="Arial"/>
          <w:b/>
          <w:noProof/>
          <w:lang w:val="sr-Latn-CS"/>
        </w:rPr>
      </w:pPr>
      <w:r w:rsidRPr="00AE5C99">
        <w:rPr>
          <w:rFonts w:ascii="Arial" w:hAnsi="Arial" w:cs="Arial"/>
          <w:b/>
          <w:noProof/>
          <w:lang w:val="sr-Latn-CS"/>
        </w:rPr>
        <w:t>Opština Bar</w:t>
      </w:r>
    </w:p>
    <w:p w:rsidR="002E4676" w:rsidRPr="00AE5C99" w:rsidRDefault="002E4676" w:rsidP="00AE5C99">
      <w:pPr>
        <w:spacing w:before="120"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B14312" w:rsidRPr="00AE5C99" w:rsidRDefault="00B14312" w:rsidP="00AE5C99">
      <w:pPr>
        <w:spacing w:after="0" w:line="240" w:lineRule="auto"/>
        <w:rPr>
          <w:rFonts w:ascii="Arial" w:hAnsi="Arial" w:cs="Arial"/>
          <w:b/>
          <w:noProof/>
          <w:lang w:val="sr-Latn-CS"/>
        </w:rPr>
      </w:pPr>
    </w:p>
    <w:p w:rsidR="00B14312" w:rsidRPr="00AE5C99" w:rsidRDefault="00B14312" w:rsidP="00AE5C99">
      <w:pPr>
        <w:spacing w:after="0" w:line="240" w:lineRule="auto"/>
        <w:rPr>
          <w:rFonts w:ascii="Arial" w:hAnsi="Arial" w:cs="Arial"/>
          <w:b/>
          <w:noProof/>
          <w:lang w:val="sr-Latn-CS"/>
        </w:rPr>
      </w:pPr>
    </w:p>
    <w:p w:rsidR="00B14312" w:rsidRPr="00AE5C99" w:rsidRDefault="00B14312" w:rsidP="00AE5C99">
      <w:pPr>
        <w:spacing w:after="0" w:line="240" w:lineRule="auto"/>
        <w:rPr>
          <w:rFonts w:ascii="Arial" w:hAnsi="Arial" w:cs="Arial"/>
          <w:b/>
          <w:noProof/>
          <w:lang w:val="sr-Latn-CS"/>
        </w:rPr>
      </w:pPr>
    </w:p>
    <w:p w:rsidR="00B14312" w:rsidRPr="00AE5C99" w:rsidRDefault="00B14312" w:rsidP="00AE5C99">
      <w:pPr>
        <w:spacing w:after="0" w:line="240" w:lineRule="auto"/>
        <w:rPr>
          <w:rFonts w:ascii="Arial" w:hAnsi="Arial" w:cs="Arial"/>
          <w:b/>
          <w:noProof/>
          <w:lang w:val="sr-Latn-CS"/>
        </w:rPr>
      </w:pPr>
    </w:p>
    <w:p w:rsidR="00B14312" w:rsidRPr="00AE5C99" w:rsidRDefault="00B14312"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b/>
          <w:noProof/>
          <w:lang w:val="sr-Latn-CS"/>
        </w:rPr>
      </w:pPr>
    </w:p>
    <w:p w:rsidR="00BA158D" w:rsidRPr="00AE5C99" w:rsidRDefault="00BA158D" w:rsidP="00AE5C99">
      <w:pPr>
        <w:spacing w:after="0" w:line="240" w:lineRule="auto"/>
        <w:rPr>
          <w:rFonts w:ascii="Arial" w:hAnsi="Arial" w:cs="Arial"/>
          <w:b/>
          <w:noProof/>
          <w:lang w:val="sr-Latn-CS"/>
        </w:rPr>
      </w:pPr>
    </w:p>
    <w:p w:rsidR="00BA158D" w:rsidRPr="00AE5C99" w:rsidRDefault="00BA158D" w:rsidP="00AE5C99">
      <w:pPr>
        <w:spacing w:after="0" w:line="240" w:lineRule="auto"/>
        <w:rPr>
          <w:rFonts w:ascii="Arial" w:hAnsi="Arial" w:cs="Arial"/>
          <w:b/>
          <w:noProof/>
          <w:lang w:val="sr-Latn-CS"/>
        </w:rPr>
      </w:pPr>
    </w:p>
    <w:p w:rsidR="00BA158D" w:rsidRPr="00AE5C99" w:rsidRDefault="00BA158D" w:rsidP="00AE5C99">
      <w:pPr>
        <w:spacing w:after="0" w:line="240" w:lineRule="auto"/>
        <w:rPr>
          <w:rFonts w:ascii="Arial" w:hAnsi="Arial" w:cs="Arial"/>
          <w:b/>
          <w:noProof/>
          <w:lang w:val="sr-Latn-CS"/>
        </w:rPr>
      </w:pPr>
    </w:p>
    <w:p w:rsidR="00BA158D" w:rsidRPr="00AE5C99" w:rsidRDefault="00BA158D" w:rsidP="00AE5C99">
      <w:pPr>
        <w:spacing w:after="0" w:line="240" w:lineRule="auto"/>
        <w:rPr>
          <w:rFonts w:ascii="Arial" w:hAnsi="Arial" w:cs="Arial"/>
          <w:b/>
          <w:noProof/>
          <w:lang w:val="sr-Latn-CS"/>
        </w:rPr>
      </w:pPr>
    </w:p>
    <w:p w:rsidR="00113526" w:rsidRPr="00AE5C99" w:rsidRDefault="00113526" w:rsidP="00AE5C99">
      <w:pPr>
        <w:spacing w:after="0" w:line="240" w:lineRule="auto"/>
        <w:rPr>
          <w:rFonts w:ascii="Arial" w:hAnsi="Arial" w:cs="Arial"/>
          <w:b/>
          <w:noProof/>
          <w:lang w:val="sr-Latn-CS"/>
        </w:rPr>
      </w:pPr>
    </w:p>
    <w:p w:rsidR="00113526" w:rsidRPr="00AE5C99" w:rsidRDefault="00113526" w:rsidP="00AE5C99">
      <w:pPr>
        <w:spacing w:after="0" w:line="240" w:lineRule="auto"/>
        <w:rPr>
          <w:rFonts w:ascii="Arial" w:hAnsi="Arial" w:cs="Arial"/>
          <w:b/>
          <w:noProof/>
          <w:lang w:val="sr-Latn-CS"/>
        </w:rPr>
      </w:pPr>
    </w:p>
    <w:p w:rsidR="002E4676" w:rsidRPr="00AE5C99" w:rsidRDefault="002E4676" w:rsidP="00AE5C99">
      <w:pPr>
        <w:spacing w:after="0" w:line="240" w:lineRule="auto"/>
        <w:rPr>
          <w:rFonts w:ascii="Arial" w:hAnsi="Arial" w:cs="Arial"/>
          <w:i/>
          <w:noProof/>
          <w:lang w:val="sr-Latn-CS"/>
        </w:rPr>
      </w:pPr>
    </w:p>
    <w:p w:rsidR="002E4676" w:rsidRPr="00AE5C99" w:rsidRDefault="002E4676" w:rsidP="00AE5C99">
      <w:pPr>
        <w:spacing w:after="0" w:line="240" w:lineRule="auto"/>
        <w:rPr>
          <w:rFonts w:ascii="Arial" w:hAnsi="Arial" w:cs="Arial"/>
          <w:noProof/>
          <w:lang w:val="sr-Latn-CS"/>
        </w:rPr>
      </w:pPr>
    </w:p>
    <w:p w:rsidR="002E4676" w:rsidRPr="00AE5C99" w:rsidRDefault="002E4676" w:rsidP="00AE5C99">
      <w:pPr>
        <w:spacing w:after="0" w:line="240" w:lineRule="auto"/>
        <w:rPr>
          <w:rFonts w:ascii="Arial" w:hAnsi="Arial" w:cs="Arial"/>
          <w:b/>
          <w:noProof/>
          <w:lang w:val="sr-Latn-CS"/>
        </w:rPr>
      </w:pPr>
      <w:r w:rsidRPr="00AE5C99">
        <w:rPr>
          <w:rFonts w:ascii="Arial" w:hAnsi="Arial" w:cs="Arial"/>
          <w:b/>
          <w:noProof/>
          <w:lang w:val="sr-Latn-CS"/>
        </w:rPr>
        <w:lastRenderedPageBreak/>
        <w:t>OPŠTI PODACI O KONCESIONOM AKTU</w:t>
      </w:r>
    </w:p>
    <w:p w:rsidR="00D021C0" w:rsidRPr="00AE5C99" w:rsidRDefault="00D021C0" w:rsidP="00AE5C99">
      <w:pPr>
        <w:spacing w:after="0" w:line="240" w:lineRule="auto"/>
        <w:rPr>
          <w:rFonts w:ascii="Arial" w:hAnsi="Arial" w:cs="Arial"/>
          <w:b/>
          <w:noProof/>
          <w:lang w:val="sr-Latn-CS"/>
        </w:rPr>
      </w:pPr>
    </w:p>
    <w:p w:rsidR="002E4676" w:rsidRPr="00AE5C99" w:rsidRDefault="002E4676" w:rsidP="00AE5C99">
      <w:pPr>
        <w:spacing w:after="0" w:line="240" w:lineRule="auto"/>
        <w:jc w:val="both"/>
        <w:rPr>
          <w:rFonts w:ascii="Arial" w:hAnsi="Arial" w:cs="Arial"/>
          <w:b/>
          <w:noProof/>
          <w:lang w:val="sr-Latn-CS"/>
        </w:rPr>
      </w:pPr>
      <w:r w:rsidRPr="00AE5C99">
        <w:rPr>
          <w:rFonts w:ascii="Arial" w:hAnsi="Arial" w:cs="Arial"/>
          <w:b/>
          <w:noProof/>
          <w:lang w:val="sr-Latn-CS"/>
        </w:rPr>
        <w:t>Naziv Koncesionog akta:</w:t>
      </w:r>
    </w:p>
    <w:p w:rsidR="00D021C0" w:rsidRPr="00AE5C99" w:rsidRDefault="00D021C0" w:rsidP="00AE5C99">
      <w:pPr>
        <w:spacing w:after="0" w:line="240" w:lineRule="auto"/>
        <w:jc w:val="both"/>
        <w:rPr>
          <w:rFonts w:ascii="Arial" w:hAnsi="Arial" w:cs="Arial"/>
          <w:b/>
          <w:noProof/>
          <w:lang w:val="sr-Latn-CS"/>
        </w:rPr>
      </w:pPr>
    </w:p>
    <w:p w:rsidR="00735D9E" w:rsidRPr="00AE5C99" w:rsidRDefault="002E4676" w:rsidP="00AE5C99">
      <w:pPr>
        <w:spacing w:after="0" w:line="240" w:lineRule="auto"/>
        <w:jc w:val="both"/>
        <w:rPr>
          <w:rFonts w:ascii="Arial" w:hAnsi="Arial" w:cs="Arial"/>
          <w:b/>
          <w:noProof/>
          <w:lang w:val="sr-Latn-CS"/>
        </w:rPr>
      </w:pPr>
      <w:r w:rsidRPr="00AE5C99">
        <w:rPr>
          <w:rFonts w:ascii="Arial" w:hAnsi="Arial" w:cs="Arial"/>
          <w:b/>
          <w:noProof/>
          <w:lang w:val="sr-Latn-CS"/>
        </w:rPr>
        <w:t>Koncesioni akt o mineraln</w:t>
      </w:r>
      <w:r w:rsidR="00887D4C" w:rsidRPr="00AE5C99">
        <w:rPr>
          <w:rFonts w:ascii="Arial" w:hAnsi="Arial" w:cs="Arial"/>
          <w:b/>
          <w:noProof/>
          <w:lang w:val="sr-Latn-CS"/>
        </w:rPr>
        <w:t>oj</w:t>
      </w:r>
      <w:r w:rsidRPr="00AE5C99">
        <w:rPr>
          <w:rFonts w:ascii="Arial" w:hAnsi="Arial" w:cs="Arial"/>
          <w:b/>
          <w:noProof/>
          <w:lang w:val="sr-Latn-CS"/>
        </w:rPr>
        <w:t xml:space="preserve"> sirovin</w:t>
      </w:r>
      <w:r w:rsidR="00887D4C" w:rsidRPr="00AE5C99">
        <w:rPr>
          <w:rFonts w:ascii="Arial" w:hAnsi="Arial" w:cs="Arial"/>
          <w:b/>
          <w:noProof/>
          <w:lang w:val="sr-Latn-CS"/>
        </w:rPr>
        <w:t>i</w:t>
      </w:r>
      <w:r w:rsidRPr="00AE5C99">
        <w:rPr>
          <w:rFonts w:ascii="Arial" w:hAnsi="Arial" w:cs="Arial"/>
          <w:b/>
          <w:noProof/>
          <w:lang w:val="sr-Latn-CS"/>
        </w:rPr>
        <w:t xml:space="preserve"> tehničko-</w:t>
      </w:r>
      <w:r w:rsidR="00D3636A" w:rsidRPr="00AE5C99">
        <w:rPr>
          <w:rFonts w:ascii="Arial" w:hAnsi="Arial" w:cs="Arial"/>
          <w:b/>
          <w:noProof/>
          <w:lang w:val="sr-Latn-CS"/>
        </w:rPr>
        <w:t>građevinskog kamena</w:t>
      </w:r>
      <w:r w:rsidR="00887D4C" w:rsidRPr="00AE5C99">
        <w:rPr>
          <w:rFonts w:ascii="Arial" w:hAnsi="Arial" w:cs="Arial"/>
          <w:b/>
          <w:noProof/>
          <w:lang w:val="sr-Latn-CS"/>
        </w:rPr>
        <w:t xml:space="preserve"> le</w:t>
      </w:r>
      <w:r w:rsidR="00887D4C" w:rsidRPr="00AE5C99">
        <w:rPr>
          <w:rFonts w:ascii="Arial" w:hAnsi="Arial" w:cs="Arial"/>
          <w:b/>
          <w:noProof/>
          <w:lang w:val="sr-Latn-ME"/>
        </w:rPr>
        <w:t>žišta</w:t>
      </w:r>
      <w:r w:rsidR="00D3636A" w:rsidRPr="00AE5C99">
        <w:rPr>
          <w:rFonts w:ascii="Arial" w:hAnsi="Arial" w:cs="Arial"/>
          <w:b/>
          <w:noProof/>
          <w:lang w:val="sr-Latn-CS"/>
        </w:rPr>
        <w:t xml:space="preserve"> </w:t>
      </w:r>
      <w:r w:rsidR="00215017" w:rsidRPr="00AE5C99">
        <w:rPr>
          <w:rFonts w:ascii="Arial" w:hAnsi="Arial" w:cs="Arial"/>
          <w:b/>
          <w:noProof/>
          <w:lang w:val="sr-Latn-CS"/>
        </w:rPr>
        <w:t>„</w:t>
      </w:r>
      <w:r w:rsidR="001D297B" w:rsidRPr="00AE5C99">
        <w:rPr>
          <w:rFonts w:ascii="Arial" w:hAnsi="Arial" w:cs="Arial"/>
          <w:b/>
          <w:noProof/>
          <w:lang w:val="sr-Latn-CS"/>
        </w:rPr>
        <w:t>Velji Zabio”</w:t>
      </w:r>
      <w:r w:rsidR="0073163D" w:rsidRPr="00AE5C99">
        <w:rPr>
          <w:rFonts w:ascii="Arial" w:hAnsi="Arial" w:cs="Arial"/>
          <w:b/>
          <w:noProof/>
          <w:lang w:val="sr-Latn-CS"/>
        </w:rPr>
        <w:t>, Opština Bar</w:t>
      </w:r>
      <w:r w:rsidR="00735D9E" w:rsidRPr="00AE5C99">
        <w:rPr>
          <w:rFonts w:ascii="Arial" w:hAnsi="Arial" w:cs="Arial"/>
          <w:b/>
          <w:noProof/>
          <w:lang w:val="sr-Latn-CS"/>
        </w:rPr>
        <w:t>.</w:t>
      </w:r>
    </w:p>
    <w:p w:rsidR="00D021C0" w:rsidRPr="00AE5C99" w:rsidRDefault="00D021C0" w:rsidP="00AE5C99">
      <w:pPr>
        <w:spacing w:after="0" w:line="240" w:lineRule="auto"/>
        <w:jc w:val="both"/>
        <w:rPr>
          <w:rFonts w:ascii="Arial" w:hAnsi="Arial" w:cs="Arial"/>
          <w:b/>
          <w:noProof/>
          <w:lang w:val="sr-Latn-CS"/>
        </w:rPr>
      </w:pPr>
    </w:p>
    <w:p w:rsidR="00C21350" w:rsidRPr="00AE5C99" w:rsidRDefault="00C21350" w:rsidP="00AE5C99">
      <w:pPr>
        <w:spacing w:after="0" w:line="240" w:lineRule="auto"/>
        <w:jc w:val="both"/>
        <w:rPr>
          <w:rFonts w:ascii="Arial" w:hAnsi="Arial" w:cs="Arial"/>
          <w:noProof/>
          <w:lang w:val="sr-Latn-CS"/>
        </w:rPr>
      </w:pPr>
      <w:r w:rsidRPr="00AE5C99">
        <w:rPr>
          <w:rFonts w:ascii="Arial" w:hAnsi="Arial" w:cs="Arial"/>
          <w:noProof/>
          <w:lang w:val="sr-Latn-CS"/>
        </w:rPr>
        <w:t>Izrada Koncesionog akta izvršena je na osnovu inicijative za pokretanje p</w:t>
      </w:r>
      <w:r w:rsidR="00AE5C5A" w:rsidRPr="00AE5C99">
        <w:rPr>
          <w:rFonts w:ascii="Arial" w:hAnsi="Arial" w:cs="Arial"/>
          <w:noProof/>
          <w:lang w:val="sr-Latn-CS"/>
        </w:rPr>
        <w:t>ostupka za dodjelu koncesije za</w:t>
      </w:r>
      <w:r w:rsidRPr="00AE5C99">
        <w:rPr>
          <w:rFonts w:ascii="Arial" w:hAnsi="Arial" w:cs="Arial"/>
          <w:noProof/>
          <w:lang w:val="sr-Latn-CS"/>
        </w:rPr>
        <w:t xml:space="preserve"> </w:t>
      </w:r>
      <w:r w:rsidR="005C75B7" w:rsidRPr="00AE5C99">
        <w:rPr>
          <w:rFonts w:ascii="Arial" w:hAnsi="Arial" w:cs="Arial"/>
          <w:noProof/>
          <w:lang w:val="sr-Latn-CS"/>
        </w:rPr>
        <w:t xml:space="preserve">detaljnja geološka istraživanja i </w:t>
      </w:r>
      <w:r w:rsidRPr="00AE5C99">
        <w:rPr>
          <w:rFonts w:ascii="Arial" w:hAnsi="Arial" w:cs="Arial"/>
          <w:noProof/>
          <w:lang w:val="sr-Latn-CS"/>
        </w:rPr>
        <w:t>eksploataciju nemetalične mineralne sirovine tehničko-gra</w:t>
      </w:r>
      <w:r w:rsidR="007455EB" w:rsidRPr="00AE5C99">
        <w:rPr>
          <w:rFonts w:ascii="Arial" w:hAnsi="Arial" w:cs="Arial"/>
          <w:noProof/>
          <w:lang w:val="sr-Latn-CS"/>
        </w:rPr>
        <w:t xml:space="preserve">đevinskog kamena na lokalitetu </w:t>
      </w:r>
      <w:r w:rsidR="0021501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Pr="00AE5C99">
        <w:rPr>
          <w:rFonts w:ascii="Arial" w:hAnsi="Arial" w:cs="Arial"/>
          <w:noProof/>
          <w:lang w:val="sr-Latn-CS"/>
        </w:rPr>
        <w:t>, od strane privrednog društva</w:t>
      </w:r>
      <w:r w:rsidR="0073163D" w:rsidRPr="00AE5C99">
        <w:rPr>
          <w:rFonts w:ascii="Arial" w:hAnsi="Arial" w:cs="Arial"/>
          <w:noProof/>
          <w:lang w:val="sr-Latn-CS"/>
        </w:rPr>
        <w:t xml:space="preserve"> </w:t>
      </w:r>
      <w:r w:rsidR="00215017" w:rsidRPr="00AE5C99">
        <w:rPr>
          <w:rFonts w:ascii="Arial" w:hAnsi="Arial" w:cs="Arial"/>
          <w:noProof/>
          <w:lang w:val="sr-Latn-CS"/>
        </w:rPr>
        <w:t>„</w:t>
      </w:r>
      <w:r w:rsidR="0073163D" w:rsidRPr="00AE5C99">
        <w:rPr>
          <w:rFonts w:ascii="Arial" w:hAnsi="Arial" w:cs="Arial"/>
          <w:noProof/>
          <w:lang w:val="sr-Latn-CS"/>
        </w:rPr>
        <w:t>Euromixbeton“ d.o.o. Bar, broj: 879 od 12.12.2018. godine, koja je zavedena u arhivi JU Zavod za geološka istraživanja Podgorica, broj: 05-1481/1, odnosno UP 05-152/1 od 12.12.2018. godine</w:t>
      </w:r>
      <w:r w:rsidRPr="00AE5C99">
        <w:rPr>
          <w:rFonts w:ascii="Arial" w:hAnsi="Arial" w:cs="Arial"/>
          <w:noProof/>
          <w:lang w:val="sr-Latn-CS"/>
        </w:rPr>
        <w:t>, u skladu sa članom 41, stav 3 Zakona o koncesijama („Sl.list CG“ br. 8/09).</w:t>
      </w:r>
    </w:p>
    <w:p w:rsidR="00D021C0" w:rsidRPr="00AE5C99" w:rsidRDefault="00D021C0" w:rsidP="00AE5C99">
      <w:pPr>
        <w:spacing w:after="0" w:line="240" w:lineRule="auto"/>
        <w:jc w:val="both"/>
        <w:rPr>
          <w:rFonts w:ascii="Arial" w:hAnsi="Arial" w:cs="Arial"/>
          <w:noProof/>
          <w:lang w:val="sr-Latn-CS"/>
        </w:rPr>
      </w:pPr>
    </w:p>
    <w:p w:rsidR="00C21350" w:rsidRPr="00AE5C99" w:rsidRDefault="00C21350" w:rsidP="00AE5C99">
      <w:pPr>
        <w:spacing w:after="0" w:line="240" w:lineRule="auto"/>
        <w:jc w:val="both"/>
        <w:rPr>
          <w:rFonts w:ascii="Arial" w:hAnsi="Arial" w:cs="Arial"/>
          <w:noProof/>
          <w:lang w:val="sr-Latn-CS"/>
        </w:rPr>
      </w:pPr>
      <w:r w:rsidRPr="00AE5C99">
        <w:rPr>
          <w:rFonts w:ascii="Arial" w:hAnsi="Arial" w:cs="Arial"/>
          <w:noProof/>
          <w:lang w:val="sr-Latn-CS"/>
        </w:rPr>
        <w:t xml:space="preserve">Rješavajući po Inicijativi, Zavod je donio Rješenje, </w:t>
      </w:r>
      <w:r w:rsidR="0073163D" w:rsidRPr="00AE5C99">
        <w:rPr>
          <w:rFonts w:ascii="Arial" w:hAnsi="Arial" w:cs="Arial"/>
          <w:noProof/>
          <w:lang w:val="sr-Latn-CS"/>
        </w:rPr>
        <w:t>br. UP-05-152/2 od 22.01.2019. godine</w:t>
      </w:r>
      <w:r w:rsidRPr="00AE5C99">
        <w:rPr>
          <w:rFonts w:ascii="Arial" w:hAnsi="Arial" w:cs="Arial"/>
          <w:noProof/>
          <w:lang w:val="sr-Latn-CS"/>
        </w:rPr>
        <w:t>, kojim je obrazovana Komisija za ocjenu podnijete inicijative. Komisija je obrazovana na osnovu člana 1 stav 1 tačka 3 podtačka a Uredbe o povjeravanju dijela poslova iz nadležnosti Ministarstva ekonomije JU Zavod za geo</w:t>
      </w:r>
      <w:r w:rsidR="007455EB" w:rsidRPr="00AE5C99">
        <w:rPr>
          <w:rFonts w:ascii="Arial" w:hAnsi="Arial" w:cs="Arial"/>
          <w:noProof/>
          <w:lang w:val="sr-Latn-CS"/>
        </w:rPr>
        <w:t xml:space="preserve">loška istraživanja – Podgorica </w:t>
      </w:r>
      <w:r w:rsidRPr="00AE5C99">
        <w:rPr>
          <w:rFonts w:ascii="Arial" w:hAnsi="Arial" w:cs="Arial"/>
          <w:noProof/>
          <w:lang w:val="sr-Latn-CS"/>
        </w:rPr>
        <w:t>(„Sl.list CG“ br. 16/18</w:t>
      </w:r>
      <w:r w:rsidR="00D021C0" w:rsidRPr="00AE5C99">
        <w:rPr>
          <w:rFonts w:ascii="Arial" w:hAnsi="Arial" w:cs="Arial"/>
          <w:noProof/>
          <w:lang w:val="sr-Latn-CS"/>
        </w:rPr>
        <w:t xml:space="preserve"> i 83/18</w:t>
      </w:r>
      <w:r w:rsidRPr="00AE5C99">
        <w:rPr>
          <w:rFonts w:ascii="Arial" w:hAnsi="Arial" w:cs="Arial"/>
          <w:noProof/>
          <w:lang w:val="sr-Latn-CS"/>
        </w:rPr>
        <w:t>), a u vezi sa čl. 17 stav 2 i  41 Zakona o</w:t>
      </w:r>
      <w:r w:rsidR="00D021C0" w:rsidRPr="00AE5C99">
        <w:rPr>
          <w:rFonts w:ascii="Arial" w:hAnsi="Arial" w:cs="Arial"/>
          <w:noProof/>
          <w:lang w:val="sr-Latn-CS"/>
        </w:rPr>
        <w:t xml:space="preserve"> koncesijama („Sl.list CG“ br. </w:t>
      </w:r>
      <w:r w:rsidRPr="00AE5C99">
        <w:rPr>
          <w:rFonts w:ascii="Arial" w:hAnsi="Arial" w:cs="Arial"/>
          <w:noProof/>
          <w:lang w:val="sr-Latn-CS"/>
        </w:rPr>
        <w:t xml:space="preserve">8/09), čl. 39 i 40 Zakona o geološkim istraživanjima </w:t>
      </w:r>
      <w:r w:rsidR="007455EB" w:rsidRPr="00AE5C99">
        <w:rPr>
          <w:rFonts w:ascii="Arial" w:hAnsi="Arial" w:cs="Arial"/>
          <w:noProof/>
          <w:lang w:val="sr-Latn-CS"/>
        </w:rPr>
        <w:t>(„</w:t>
      </w:r>
      <w:r w:rsidRPr="00AE5C99">
        <w:rPr>
          <w:rFonts w:ascii="Arial" w:hAnsi="Arial" w:cs="Arial"/>
          <w:noProof/>
          <w:lang w:val="sr-Latn-CS"/>
        </w:rPr>
        <w:t>Sl. list RCG”, br.</w:t>
      </w:r>
      <w:r w:rsidR="007455EB" w:rsidRPr="00AE5C99">
        <w:rPr>
          <w:rFonts w:ascii="Arial" w:hAnsi="Arial" w:cs="Arial"/>
          <w:noProof/>
          <w:lang w:val="sr-Latn-CS"/>
        </w:rPr>
        <w:t xml:space="preserve"> 28/93, 27/94, 42/94 i 26/07 i „</w:t>
      </w:r>
      <w:r w:rsidRPr="00AE5C99">
        <w:rPr>
          <w:rFonts w:ascii="Arial" w:hAnsi="Arial" w:cs="Arial"/>
          <w:noProof/>
          <w:lang w:val="sr-Latn-CS"/>
        </w:rPr>
        <w:t>Sl. list CG“, br. 28/11), člana 15 Zakona o državnoj upravi</w:t>
      </w:r>
      <w:r w:rsidR="007455EB" w:rsidRPr="00AE5C99">
        <w:rPr>
          <w:rFonts w:ascii="Arial" w:hAnsi="Arial" w:cs="Arial"/>
          <w:noProof/>
          <w:lang w:val="sr-Latn-CS"/>
        </w:rPr>
        <w:t xml:space="preserve"> („</w:t>
      </w:r>
      <w:r w:rsidRPr="00AE5C99">
        <w:rPr>
          <w:rFonts w:ascii="Arial" w:hAnsi="Arial" w:cs="Arial"/>
          <w:noProof/>
          <w:lang w:val="sr-Latn-CS"/>
        </w:rPr>
        <w:t>Sl. list RCG”, br. 38/03</w:t>
      </w:r>
      <w:r w:rsidR="007455EB" w:rsidRPr="00AE5C99">
        <w:rPr>
          <w:rFonts w:ascii="Arial" w:hAnsi="Arial" w:cs="Arial"/>
          <w:noProof/>
          <w:lang w:val="sr-Latn-CS"/>
        </w:rPr>
        <w:t xml:space="preserve"> i „</w:t>
      </w:r>
      <w:r w:rsidRPr="00AE5C99">
        <w:rPr>
          <w:rFonts w:ascii="Arial" w:hAnsi="Arial" w:cs="Arial"/>
          <w:noProof/>
          <w:lang w:val="sr-Latn-CS"/>
        </w:rPr>
        <w:t xml:space="preserve">Sl. list CG“, br. 22/08 ,42/11 i 54/16), člana 46 Zakona o upravnom postupku </w:t>
      </w:r>
      <w:r w:rsidR="007455EB" w:rsidRPr="00AE5C99">
        <w:rPr>
          <w:rFonts w:ascii="Arial" w:hAnsi="Arial" w:cs="Arial"/>
          <w:noProof/>
          <w:lang w:val="sr-Latn-CS"/>
        </w:rPr>
        <w:t>(„</w:t>
      </w:r>
      <w:r w:rsidRPr="00AE5C99">
        <w:rPr>
          <w:rFonts w:ascii="Arial" w:hAnsi="Arial" w:cs="Arial"/>
          <w:noProof/>
          <w:lang w:val="sr-Latn-CS"/>
        </w:rPr>
        <w:t>Sl. list RCG”, br. 56/14, 20/15, 40/16 i 37/17) i člana 22 Statuta Zavoda.</w:t>
      </w:r>
    </w:p>
    <w:p w:rsidR="00D021C0" w:rsidRPr="00AE5C99" w:rsidRDefault="00D021C0" w:rsidP="00AE5C99">
      <w:pPr>
        <w:spacing w:after="0" w:line="240" w:lineRule="auto"/>
        <w:jc w:val="both"/>
        <w:rPr>
          <w:rFonts w:ascii="Arial" w:hAnsi="Arial" w:cs="Arial"/>
          <w:noProof/>
          <w:lang w:val="sr-Latn-CS"/>
        </w:rPr>
      </w:pPr>
    </w:p>
    <w:p w:rsidR="00C21350" w:rsidRPr="00AE5C99" w:rsidRDefault="00C21350" w:rsidP="00AE5C99">
      <w:pPr>
        <w:spacing w:after="0" w:line="240" w:lineRule="auto"/>
        <w:jc w:val="both"/>
        <w:rPr>
          <w:rFonts w:ascii="Arial" w:hAnsi="Arial" w:cs="Arial"/>
          <w:noProof/>
          <w:lang w:val="sr-Latn-CS"/>
        </w:rPr>
      </w:pPr>
      <w:r w:rsidRPr="00AE5C99">
        <w:rPr>
          <w:rFonts w:ascii="Arial" w:hAnsi="Arial" w:cs="Arial"/>
          <w:noProof/>
          <w:lang w:val="sr-Latn-CS"/>
        </w:rPr>
        <w:t xml:space="preserve">Postupajući po Rješenju, Komisija je izvršila analizu dostavljene </w:t>
      </w:r>
      <w:r w:rsidR="00215017" w:rsidRPr="00AE5C99">
        <w:rPr>
          <w:rFonts w:ascii="Arial" w:hAnsi="Arial" w:cs="Arial"/>
          <w:noProof/>
          <w:lang w:val="sr-Latn-CS"/>
        </w:rPr>
        <w:t>I</w:t>
      </w:r>
      <w:r w:rsidRPr="00AE5C99">
        <w:rPr>
          <w:rFonts w:ascii="Arial" w:hAnsi="Arial" w:cs="Arial"/>
          <w:noProof/>
          <w:lang w:val="sr-Latn-CS"/>
        </w:rPr>
        <w:t>nicijative, analizu dos</w:t>
      </w:r>
      <w:r w:rsidR="007455EB" w:rsidRPr="00AE5C99">
        <w:rPr>
          <w:rFonts w:ascii="Arial" w:hAnsi="Arial" w:cs="Arial"/>
          <w:noProof/>
          <w:lang w:val="sr-Latn-CS"/>
        </w:rPr>
        <w:t>t</w:t>
      </w:r>
      <w:r w:rsidRPr="00AE5C99">
        <w:rPr>
          <w:rFonts w:ascii="Arial" w:hAnsi="Arial" w:cs="Arial"/>
          <w:noProof/>
          <w:lang w:val="sr-Latn-CS"/>
        </w:rPr>
        <w:t>upnih podataka kao i terenski obilazak lokaliteta „</w:t>
      </w:r>
      <w:r w:rsidR="00DA601A" w:rsidRPr="00AE5C99">
        <w:rPr>
          <w:rFonts w:ascii="Arial" w:hAnsi="Arial" w:cs="Arial"/>
          <w:noProof/>
          <w:lang w:val="sr-Latn-CS"/>
        </w:rPr>
        <w:t>Velji Zabio</w:t>
      </w:r>
      <w:r w:rsidRPr="00AE5C99">
        <w:rPr>
          <w:rFonts w:ascii="Arial" w:hAnsi="Arial" w:cs="Arial"/>
          <w:noProof/>
          <w:lang w:val="sr-Latn-CS"/>
        </w:rPr>
        <w:t>“, u cilju utvrđivanja stanja i granica na predmetnom prostoru kao i procjenu uslova za buduće eksploatacione radove. Na osnovu svega naveden</w:t>
      </w:r>
      <w:r w:rsidR="0073163D" w:rsidRPr="00AE5C99">
        <w:rPr>
          <w:rFonts w:ascii="Arial" w:hAnsi="Arial" w:cs="Arial"/>
          <w:noProof/>
          <w:lang w:val="sr-Latn-CS"/>
        </w:rPr>
        <w:t>og, sačinjen je Izvještaj dana 28.0</w:t>
      </w:r>
      <w:r w:rsidRPr="00AE5C99">
        <w:rPr>
          <w:rFonts w:ascii="Arial" w:hAnsi="Arial" w:cs="Arial"/>
          <w:noProof/>
          <w:lang w:val="sr-Latn-CS"/>
        </w:rPr>
        <w:t>2.201</w:t>
      </w:r>
      <w:r w:rsidR="00DA601A" w:rsidRPr="00AE5C99">
        <w:rPr>
          <w:rFonts w:ascii="Arial" w:hAnsi="Arial" w:cs="Arial"/>
          <w:noProof/>
          <w:lang w:val="sr-Latn-CS"/>
        </w:rPr>
        <w:t>9</w:t>
      </w:r>
      <w:r w:rsidRPr="00AE5C99">
        <w:rPr>
          <w:rFonts w:ascii="Arial" w:hAnsi="Arial" w:cs="Arial"/>
          <w:noProof/>
          <w:lang w:val="sr-Latn-CS"/>
        </w:rPr>
        <w:t>. godine, u kojem je Komisija predložila da se navedena Inicijativa prihvati.</w:t>
      </w:r>
    </w:p>
    <w:p w:rsidR="00C21350" w:rsidRPr="00AE5C99" w:rsidRDefault="00C21350" w:rsidP="00AE5C99">
      <w:pPr>
        <w:spacing w:after="0" w:line="240" w:lineRule="auto"/>
        <w:jc w:val="both"/>
        <w:rPr>
          <w:rFonts w:ascii="Arial" w:hAnsi="Arial" w:cs="Arial"/>
          <w:noProof/>
          <w:lang w:val="sr-Latn-CS"/>
        </w:rPr>
      </w:pPr>
    </w:p>
    <w:p w:rsidR="00C21350" w:rsidRPr="00AE5C99" w:rsidRDefault="00C21350" w:rsidP="00AE5C99">
      <w:pPr>
        <w:spacing w:after="0" w:line="240" w:lineRule="auto"/>
        <w:jc w:val="both"/>
        <w:rPr>
          <w:rFonts w:ascii="Arial" w:hAnsi="Arial" w:cs="Arial"/>
          <w:noProof/>
          <w:lang w:val="sr-Latn-CS"/>
        </w:rPr>
      </w:pPr>
      <w:r w:rsidRPr="00AE5C99">
        <w:rPr>
          <w:rFonts w:ascii="Arial" w:hAnsi="Arial" w:cs="Arial"/>
          <w:noProof/>
          <w:lang w:val="sr-Latn-CS"/>
        </w:rPr>
        <w:t xml:space="preserve">Napomena: </w:t>
      </w:r>
      <w:r w:rsidRPr="00AE5C99">
        <w:rPr>
          <w:rFonts w:ascii="Arial" w:eastAsia="Times New Roman" w:hAnsi="Arial" w:cs="Arial"/>
          <w:noProof/>
          <w:lang w:val="sr-Latn-CS"/>
        </w:rPr>
        <w:t>Ukoliko se u sprovedenom postupku koncesija da ponuđaču koji nije podnosilac inicijative za davanje koncesije, nadležni organ će, bez odlaganja, vratiti podnosiocu inicijative deponovana sredstva, uz umanjenje za plaćeni iznos za otkup tenderske dokumentacije, a iznos troškova izrade koncesionog akta naplatiti od koncesionara (član 41</w:t>
      </w:r>
      <w:r w:rsidR="00215017" w:rsidRPr="00AE5C99">
        <w:rPr>
          <w:rFonts w:ascii="Arial" w:eastAsia="Times New Roman" w:hAnsi="Arial" w:cs="Arial"/>
          <w:noProof/>
          <w:lang w:val="sr-Latn-CS"/>
        </w:rPr>
        <w:t xml:space="preserve"> stav 5 Zakona o koncesijama </w:t>
      </w:r>
      <w:r w:rsidR="007455EB" w:rsidRPr="00AE5C99">
        <w:rPr>
          <w:rFonts w:ascii="Arial" w:eastAsia="Times New Roman" w:hAnsi="Arial" w:cs="Arial"/>
          <w:noProof/>
          <w:lang w:val="sr-Latn-CS"/>
        </w:rPr>
        <w:t>„</w:t>
      </w:r>
      <w:r w:rsidRPr="00AE5C99">
        <w:rPr>
          <w:rFonts w:ascii="Arial" w:eastAsia="Times New Roman" w:hAnsi="Arial" w:cs="Arial"/>
          <w:noProof/>
          <w:lang w:val="sr-Latn-CS"/>
        </w:rPr>
        <w:t xml:space="preserve">Sl.list CG’’ broj </w:t>
      </w:r>
      <w:r w:rsidRPr="00AE5C99">
        <w:rPr>
          <w:rFonts w:ascii="Arial" w:hAnsi="Arial" w:cs="Arial"/>
          <w:noProof/>
          <w:lang w:val="sr-Latn-CS"/>
        </w:rPr>
        <w:t>8/09).</w:t>
      </w:r>
    </w:p>
    <w:p w:rsidR="00D021C0" w:rsidRPr="00AE5C99" w:rsidRDefault="00D021C0" w:rsidP="00AE5C99">
      <w:pPr>
        <w:spacing w:after="0" w:line="240" w:lineRule="auto"/>
        <w:jc w:val="both"/>
        <w:rPr>
          <w:rFonts w:ascii="Arial" w:eastAsia="Times New Roman" w:hAnsi="Arial" w:cs="Arial"/>
          <w:noProof/>
          <w:lang w:val="sr-Latn-CS"/>
        </w:rPr>
      </w:pPr>
    </w:p>
    <w:p w:rsidR="00C21350" w:rsidRPr="00AE5C99" w:rsidRDefault="00C21350" w:rsidP="00AE5C99">
      <w:pPr>
        <w:spacing w:after="0" w:line="240" w:lineRule="auto"/>
        <w:jc w:val="both"/>
        <w:rPr>
          <w:rFonts w:ascii="Arial" w:hAnsi="Arial" w:cs="Arial"/>
          <w:b/>
          <w:noProof/>
          <w:lang w:val="sr-Latn-CS"/>
        </w:rPr>
      </w:pPr>
      <w:r w:rsidRPr="00AE5C99">
        <w:rPr>
          <w:rFonts w:ascii="Arial" w:hAnsi="Arial" w:cs="Arial"/>
          <w:b/>
          <w:noProof/>
          <w:lang w:val="sr-Latn-CS"/>
        </w:rPr>
        <w:t>Izrada Koncesionog akta:</w:t>
      </w:r>
    </w:p>
    <w:p w:rsidR="00C521CE" w:rsidRPr="00AE5C99" w:rsidRDefault="00C521CE" w:rsidP="00AE5C99">
      <w:pPr>
        <w:spacing w:after="0" w:line="240" w:lineRule="auto"/>
        <w:jc w:val="both"/>
        <w:rPr>
          <w:rFonts w:ascii="Arial" w:hAnsi="Arial" w:cs="Arial"/>
          <w:noProof/>
          <w:lang w:val="sr-Latn-CS"/>
        </w:rPr>
      </w:pPr>
    </w:p>
    <w:p w:rsidR="002B717C" w:rsidRPr="00AE5C99" w:rsidRDefault="00C521CE" w:rsidP="00AE5C99">
      <w:pPr>
        <w:spacing w:after="0" w:line="240" w:lineRule="auto"/>
        <w:jc w:val="both"/>
        <w:rPr>
          <w:rFonts w:ascii="Arial" w:hAnsi="Arial" w:cs="Arial"/>
          <w:noProof/>
          <w:lang w:val="sr-Latn-CS"/>
        </w:rPr>
      </w:pPr>
      <w:r w:rsidRPr="00AE5C99">
        <w:rPr>
          <w:rFonts w:ascii="Arial" w:hAnsi="Arial" w:cs="Arial"/>
          <w:noProof/>
          <w:lang w:val="sr-Latn-CS"/>
        </w:rPr>
        <w:t>S</w:t>
      </w:r>
      <w:r w:rsidR="002B717C" w:rsidRPr="00AE5C99">
        <w:rPr>
          <w:rFonts w:ascii="Arial" w:hAnsi="Arial" w:cs="Arial"/>
          <w:noProof/>
          <w:lang w:val="sr-Latn-CS"/>
        </w:rPr>
        <w:t xml:space="preserve">tručna ekipa Zavoda je pristupila analizi raspoloživih podataka i izradi Nacrta Koncesionog akta za davanje prava na </w:t>
      </w:r>
      <w:r w:rsidR="005C75B7" w:rsidRPr="00AE5C99">
        <w:rPr>
          <w:rFonts w:ascii="Arial" w:hAnsi="Arial" w:cs="Arial"/>
          <w:noProof/>
          <w:lang w:val="sr-Latn-CS"/>
        </w:rPr>
        <w:t>detaljna geološka istraživanja i</w:t>
      </w:r>
      <w:r w:rsidR="002B717C" w:rsidRPr="00AE5C99">
        <w:rPr>
          <w:rFonts w:ascii="Arial" w:hAnsi="Arial" w:cs="Arial"/>
          <w:noProof/>
          <w:lang w:val="sr-Latn-CS"/>
        </w:rPr>
        <w:t xml:space="preserve"> eksploataciju tehničko-građevinskog kamena </w:t>
      </w:r>
      <w:r w:rsidR="007455EB" w:rsidRPr="00AE5C99">
        <w:rPr>
          <w:rFonts w:ascii="Arial" w:hAnsi="Arial" w:cs="Arial"/>
          <w:noProof/>
          <w:lang w:val="sr-Latn-CS"/>
        </w:rPr>
        <w:t>lo</w:t>
      </w:r>
      <w:r w:rsidR="002B717C" w:rsidRPr="00AE5C99">
        <w:rPr>
          <w:rFonts w:ascii="Arial" w:hAnsi="Arial" w:cs="Arial"/>
          <w:noProof/>
          <w:lang w:val="sr-Latn-CS"/>
        </w:rPr>
        <w:t>kaliteta</w:t>
      </w:r>
      <w:r w:rsidR="007455EB" w:rsidRPr="00AE5C99">
        <w:rPr>
          <w:rFonts w:ascii="Arial" w:hAnsi="Arial" w:cs="Arial"/>
          <w:noProof/>
          <w:lang w:val="sr-Latn-CS"/>
        </w:rPr>
        <w:t xml:space="preserve"> </w:t>
      </w:r>
      <w:r w:rsidR="0021501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002B717C" w:rsidRPr="00AE5C99">
        <w:rPr>
          <w:rFonts w:ascii="Arial" w:hAnsi="Arial" w:cs="Arial"/>
          <w:noProof/>
          <w:lang w:val="sr-Latn-CS"/>
        </w:rPr>
        <w:t>.</w:t>
      </w:r>
    </w:p>
    <w:p w:rsidR="002B717C" w:rsidRPr="00AE5C99" w:rsidRDefault="002B717C" w:rsidP="00AE5C99">
      <w:pPr>
        <w:spacing w:after="0" w:line="240" w:lineRule="auto"/>
        <w:jc w:val="both"/>
        <w:rPr>
          <w:rFonts w:ascii="Arial" w:hAnsi="Arial" w:cs="Arial"/>
          <w:noProof/>
          <w:lang w:val="sr-Latn-CS"/>
        </w:rPr>
      </w:pPr>
    </w:p>
    <w:p w:rsidR="002B717C" w:rsidRPr="00AE5C99" w:rsidRDefault="002B717C" w:rsidP="00AE5C99">
      <w:pPr>
        <w:spacing w:after="0" w:line="240" w:lineRule="auto"/>
        <w:jc w:val="both"/>
        <w:rPr>
          <w:rFonts w:ascii="Arial" w:hAnsi="Arial" w:cs="Arial"/>
          <w:noProof/>
          <w:lang w:val="sr-Latn-CS"/>
        </w:rPr>
      </w:pPr>
      <w:r w:rsidRPr="00AE5C99">
        <w:rPr>
          <w:rFonts w:ascii="Arial" w:hAnsi="Arial" w:cs="Arial"/>
          <w:noProof/>
          <w:lang w:val="sr-Latn-CS"/>
        </w:rPr>
        <w:t>Koncesioni akt je urađen u skladu sa čl. 9, tačka 6, 17 i 19 Zakona o k</w:t>
      </w:r>
      <w:r w:rsidR="006A68F3" w:rsidRPr="00AE5C99">
        <w:rPr>
          <w:rFonts w:ascii="Arial" w:hAnsi="Arial" w:cs="Arial"/>
          <w:noProof/>
          <w:lang w:val="sr-Latn-CS"/>
        </w:rPr>
        <w:t xml:space="preserve">oncesijama („Sl. list CG“, br. </w:t>
      </w:r>
      <w:r w:rsidRPr="00AE5C99">
        <w:rPr>
          <w:rFonts w:ascii="Arial" w:hAnsi="Arial" w:cs="Arial"/>
          <w:noProof/>
          <w:lang w:val="sr-Latn-CS"/>
        </w:rPr>
        <w:t>8/09).</w:t>
      </w:r>
    </w:p>
    <w:p w:rsidR="00D17158" w:rsidRPr="00AE5C99" w:rsidRDefault="00D17158" w:rsidP="00AE5C99">
      <w:pPr>
        <w:spacing w:after="0" w:line="240" w:lineRule="auto"/>
        <w:jc w:val="both"/>
        <w:rPr>
          <w:rFonts w:ascii="Arial" w:hAnsi="Arial" w:cs="Arial"/>
          <w:noProof/>
          <w:lang w:val="sr-Latn-CS"/>
        </w:rPr>
      </w:pPr>
    </w:p>
    <w:p w:rsidR="002E4676" w:rsidRPr="00AE5C99" w:rsidRDefault="002E4676" w:rsidP="00AE5C99">
      <w:pPr>
        <w:spacing w:after="0" w:line="240" w:lineRule="auto"/>
        <w:jc w:val="both"/>
        <w:rPr>
          <w:rFonts w:ascii="Arial" w:hAnsi="Arial" w:cs="Arial"/>
          <w:b/>
          <w:noProof/>
          <w:lang w:val="sr-Latn-CS"/>
        </w:rPr>
      </w:pPr>
      <w:r w:rsidRPr="00AE5C99">
        <w:rPr>
          <w:rFonts w:ascii="Arial" w:hAnsi="Arial" w:cs="Arial"/>
          <w:b/>
          <w:noProof/>
          <w:lang w:val="sr-Latn-CS"/>
        </w:rPr>
        <w:t>Izvori podataka za izradu Koncesionog akta:</w:t>
      </w:r>
    </w:p>
    <w:p w:rsidR="00D021C0" w:rsidRPr="00AE5C99" w:rsidRDefault="00D021C0" w:rsidP="00AE5C99">
      <w:pPr>
        <w:spacing w:after="0" w:line="240" w:lineRule="auto"/>
        <w:jc w:val="both"/>
        <w:rPr>
          <w:rFonts w:ascii="Arial" w:hAnsi="Arial" w:cs="Arial"/>
          <w:b/>
          <w:noProof/>
          <w:lang w:val="sr-Latn-CS"/>
        </w:rPr>
      </w:pPr>
    </w:p>
    <w:p w:rsidR="00F0778D" w:rsidRPr="00AE5C99" w:rsidRDefault="00F0778D" w:rsidP="00AE5C99">
      <w:pPr>
        <w:numPr>
          <w:ilvl w:val="0"/>
          <w:numId w:val="11"/>
        </w:numPr>
        <w:suppressAutoHyphens/>
        <w:spacing w:after="0" w:line="240" w:lineRule="auto"/>
        <w:jc w:val="both"/>
        <w:rPr>
          <w:rFonts w:ascii="Arial" w:hAnsi="Arial" w:cs="Arial"/>
          <w:noProof/>
          <w:lang w:val="sr-Latn-CS"/>
        </w:rPr>
      </w:pPr>
      <w:r w:rsidRPr="00AE5C99">
        <w:rPr>
          <w:rFonts w:ascii="Arial" w:hAnsi="Arial" w:cs="Arial"/>
          <w:noProof/>
          <w:lang w:val="sr-Latn-CS"/>
        </w:rPr>
        <w:t>Raspoloživa geološka i rudarska dokumentacija Ministarstva ekonomije i JU Zavod za geološka istraživanja</w:t>
      </w:r>
      <w:r w:rsidR="0037158C" w:rsidRPr="00AE5C99">
        <w:rPr>
          <w:rFonts w:ascii="Arial" w:hAnsi="Arial" w:cs="Arial"/>
          <w:noProof/>
          <w:lang w:val="sr-Latn-CS"/>
        </w:rPr>
        <w:t>,</w:t>
      </w:r>
      <w:r w:rsidRPr="00AE5C99">
        <w:rPr>
          <w:rFonts w:ascii="Arial" w:hAnsi="Arial" w:cs="Arial"/>
          <w:noProof/>
          <w:lang w:val="sr-Latn-CS"/>
        </w:rPr>
        <w:t xml:space="preserve"> Podgorica;</w:t>
      </w:r>
    </w:p>
    <w:p w:rsidR="00F0778D" w:rsidRPr="00AE5C99" w:rsidRDefault="00F0778D" w:rsidP="00AE5C99">
      <w:pPr>
        <w:numPr>
          <w:ilvl w:val="0"/>
          <w:numId w:val="11"/>
        </w:numPr>
        <w:suppressAutoHyphens/>
        <w:autoSpaceDE w:val="0"/>
        <w:autoSpaceDN w:val="0"/>
        <w:adjustRightInd w:val="0"/>
        <w:spacing w:after="0" w:line="240" w:lineRule="auto"/>
        <w:ind w:left="714" w:hanging="357"/>
        <w:jc w:val="both"/>
        <w:rPr>
          <w:rFonts w:ascii="Arial" w:eastAsiaTheme="minorHAnsi" w:hAnsi="Arial" w:cs="Arial"/>
          <w:noProof/>
          <w:lang w:val="sr-Latn-CS"/>
        </w:rPr>
      </w:pPr>
      <w:r w:rsidRPr="00AE5C99">
        <w:rPr>
          <w:rFonts w:ascii="Arial" w:hAnsi="Arial" w:cs="Arial"/>
          <w:noProof/>
          <w:lang w:val="sr-Latn-CS"/>
        </w:rPr>
        <w:t xml:space="preserve">Podaci Uprave za nekretnine Crne </w:t>
      </w:r>
      <w:r w:rsidR="00B9279E" w:rsidRPr="00AE5C99">
        <w:rPr>
          <w:rFonts w:ascii="Arial" w:hAnsi="Arial" w:cs="Arial"/>
          <w:noProof/>
          <w:lang w:val="sr-Latn-CS"/>
        </w:rPr>
        <w:t xml:space="preserve">Gore, Područna jedinica </w:t>
      </w:r>
      <w:r w:rsidR="0059773C" w:rsidRPr="00AE5C99">
        <w:rPr>
          <w:rFonts w:ascii="Arial" w:hAnsi="Arial" w:cs="Arial"/>
          <w:noProof/>
          <w:lang w:val="sr-Latn-CS"/>
        </w:rPr>
        <w:t>Bar</w:t>
      </w:r>
      <w:r w:rsidR="00C521CE" w:rsidRPr="00AE5C99">
        <w:rPr>
          <w:rFonts w:ascii="Arial" w:hAnsi="Arial" w:cs="Arial"/>
          <w:noProof/>
          <w:lang w:val="sr-Latn-CS"/>
        </w:rPr>
        <w:t>;</w:t>
      </w:r>
    </w:p>
    <w:p w:rsidR="00F0778D" w:rsidRPr="00AE5C99" w:rsidRDefault="00117017" w:rsidP="00AE5C99">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lang w:val="sr-Latn-CS"/>
        </w:rPr>
      </w:pPr>
      <w:r w:rsidRPr="00AE5C99">
        <w:rPr>
          <w:rFonts w:ascii="Arial" w:eastAsiaTheme="minorHAnsi" w:hAnsi="Arial" w:cs="Arial"/>
          <w:noProof/>
          <w:lang w:val="sr-Latn-CS"/>
        </w:rPr>
        <w:t xml:space="preserve">Mišljenje Sekretarijata </w:t>
      </w:r>
      <w:r w:rsidR="0059773C" w:rsidRPr="00AE5C99">
        <w:rPr>
          <w:rFonts w:ascii="Arial" w:hAnsi="Arial" w:cs="Arial"/>
          <w:noProof/>
          <w:lang w:val="sr-Latn-CS"/>
        </w:rPr>
        <w:t>Ministarstva održivog razvoja i turizm</w:t>
      </w:r>
      <w:r w:rsidR="0059773C" w:rsidRPr="00AE5C99">
        <w:rPr>
          <w:rFonts w:ascii="Arial" w:eastAsiaTheme="minorHAnsi" w:hAnsi="Arial" w:cs="Arial"/>
          <w:noProof/>
          <w:lang w:val="sr-Latn-CS"/>
        </w:rPr>
        <w:t>a</w:t>
      </w:r>
      <w:r w:rsidR="00FC48F3" w:rsidRPr="00AE5C99">
        <w:rPr>
          <w:rFonts w:ascii="Arial" w:eastAsiaTheme="minorHAnsi" w:hAnsi="Arial" w:cs="Arial"/>
          <w:noProof/>
          <w:lang w:val="sr-Latn-CS"/>
        </w:rPr>
        <w:t xml:space="preserve">, Opšina </w:t>
      </w:r>
      <w:r w:rsidR="0059773C" w:rsidRPr="00AE5C99">
        <w:rPr>
          <w:rFonts w:ascii="Arial" w:hAnsi="Arial" w:cs="Arial"/>
          <w:noProof/>
          <w:lang w:val="sr-Latn-CS"/>
        </w:rPr>
        <w:t>Podgorica</w:t>
      </w:r>
      <w:r w:rsidR="00DB2DB9" w:rsidRPr="00AE5C99">
        <w:rPr>
          <w:rFonts w:ascii="Arial" w:hAnsi="Arial" w:cs="Arial"/>
          <w:noProof/>
          <w:lang w:val="sr-Latn-CS"/>
        </w:rPr>
        <w:t xml:space="preserve">, akt br. </w:t>
      </w:r>
      <w:r w:rsidR="0059773C" w:rsidRPr="00AE5C99">
        <w:rPr>
          <w:rFonts w:ascii="Arial" w:hAnsi="Arial" w:cs="Arial"/>
          <w:noProof/>
          <w:lang w:val="sr-Latn-CS"/>
        </w:rPr>
        <w:t>104-83/463 od 10.12.2018. godin</w:t>
      </w:r>
      <w:r w:rsidR="0059773C" w:rsidRPr="00AE5C99">
        <w:rPr>
          <w:rFonts w:ascii="Arial" w:eastAsiaTheme="minorHAnsi" w:hAnsi="Arial" w:cs="Arial"/>
          <w:noProof/>
          <w:lang w:val="sr-Latn-CS"/>
        </w:rPr>
        <w:t>e</w:t>
      </w:r>
      <w:r w:rsidR="0037158C" w:rsidRPr="00AE5C99">
        <w:rPr>
          <w:rFonts w:ascii="Arial" w:eastAsiaTheme="minorHAnsi" w:hAnsi="Arial" w:cs="Arial"/>
          <w:noProof/>
          <w:lang w:val="sr-Latn-CS"/>
        </w:rPr>
        <w:t>;</w:t>
      </w:r>
    </w:p>
    <w:p w:rsidR="00F0778D" w:rsidRPr="00AE5C99" w:rsidRDefault="00F0778D" w:rsidP="00AE5C99">
      <w:pPr>
        <w:pStyle w:val="ListParagraph"/>
        <w:numPr>
          <w:ilvl w:val="0"/>
          <w:numId w:val="11"/>
        </w:numPr>
        <w:suppressAutoHyphens/>
        <w:spacing w:after="0" w:line="240" w:lineRule="auto"/>
        <w:ind w:left="714" w:hanging="357"/>
        <w:contextualSpacing w:val="0"/>
        <w:jc w:val="both"/>
        <w:rPr>
          <w:rFonts w:ascii="Arial" w:hAnsi="Arial" w:cs="Arial"/>
          <w:noProof/>
          <w:lang w:val="sr-Latn-CS"/>
        </w:rPr>
      </w:pPr>
      <w:r w:rsidRPr="00AE5C99">
        <w:rPr>
          <w:rFonts w:ascii="Arial" w:hAnsi="Arial" w:cs="Arial"/>
          <w:noProof/>
          <w:lang w:val="sr-Latn-CS"/>
        </w:rPr>
        <w:lastRenderedPageBreak/>
        <w:t xml:space="preserve">Podaci </w:t>
      </w:r>
      <w:r w:rsidR="008F3318" w:rsidRPr="00AE5C99">
        <w:rPr>
          <w:rFonts w:ascii="Arial" w:hAnsi="Arial" w:cs="Arial"/>
          <w:noProof/>
          <w:lang w:val="sr-Latn-CS"/>
        </w:rPr>
        <w:t>Uprave</w:t>
      </w:r>
      <w:r w:rsidRPr="00AE5C99">
        <w:rPr>
          <w:rFonts w:ascii="Arial" w:hAnsi="Arial" w:cs="Arial"/>
          <w:noProof/>
          <w:lang w:val="sr-Latn-CS"/>
        </w:rPr>
        <w:t xml:space="preserve"> za statistiku</w:t>
      </w:r>
      <w:r w:rsidR="008F3318" w:rsidRPr="00AE5C99">
        <w:rPr>
          <w:rFonts w:ascii="Arial" w:hAnsi="Arial" w:cs="Arial"/>
          <w:noProof/>
          <w:lang w:val="sr-Latn-CS"/>
        </w:rPr>
        <w:t xml:space="preserve"> Crne Gore, Monstat</w:t>
      </w:r>
      <w:r w:rsidRPr="00AE5C99">
        <w:rPr>
          <w:rFonts w:ascii="Arial" w:hAnsi="Arial" w:cs="Arial"/>
          <w:noProof/>
          <w:lang w:val="sr-Latn-CS"/>
        </w:rPr>
        <w:t>, akt br.</w:t>
      </w:r>
      <w:r w:rsidR="007455EB" w:rsidRPr="00AE5C99">
        <w:rPr>
          <w:rFonts w:ascii="Arial" w:hAnsi="Arial" w:cs="Arial"/>
          <w:noProof/>
          <w:lang w:val="sr-Latn-CS"/>
        </w:rPr>
        <w:t xml:space="preserve"> </w:t>
      </w:r>
      <w:r w:rsidR="008F3318" w:rsidRPr="00AE5C99">
        <w:rPr>
          <w:rFonts w:ascii="Arial" w:hAnsi="Arial" w:cs="Arial"/>
          <w:noProof/>
          <w:lang w:val="sr-Latn-CS"/>
        </w:rPr>
        <w:t>01-639</w:t>
      </w:r>
      <w:r w:rsidRPr="00AE5C99">
        <w:rPr>
          <w:rFonts w:ascii="Arial" w:hAnsi="Arial" w:cs="Arial"/>
          <w:noProof/>
          <w:lang w:val="sr-Latn-CS"/>
        </w:rPr>
        <w:t>/2, od 0</w:t>
      </w:r>
      <w:r w:rsidR="00C32E6C" w:rsidRPr="00AE5C99">
        <w:rPr>
          <w:rFonts w:ascii="Arial" w:hAnsi="Arial" w:cs="Arial"/>
          <w:noProof/>
          <w:lang w:val="sr-Latn-CS"/>
        </w:rPr>
        <w:t>5</w:t>
      </w:r>
      <w:r w:rsidRPr="00AE5C99">
        <w:rPr>
          <w:rFonts w:ascii="Arial" w:hAnsi="Arial" w:cs="Arial"/>
          <w:noProof/>
          <w:lang w:val="sr-Latn-CS"/>
        </w:rPr>
        <w:t>.03.201</w:t>
      </w:r>
      <w:r w:rsidR="008F3318" w:rsidRPr="00AE5C99">
        <w:rPr>
          <w:rFonts w:ascii="Arial" w:hAnsi="Arial" w:cs="Arial"/>
          <w:noProof/>
          <w:lang w:val="sr-Latn-CS"/>
        </w:rPr>
        <w:t>9</w:t>
      </w:r>
      <w:r w:rsidRPr="00AE5C99">
        <w:rPr>
          <w:rFonts w:ascii="Arial" w:hAnsi="Arial" w:cs="Arial"/>
          <w:noProof/>
          <w:lang w:val="sr-Latn-CS"/>
        </w:rPr>
        <w:t>. godin</w:t>
      </w:r>
      <w:r w:rsidR="00D021C0" w:rsidRPr="00AE5C99">
        <w:rPr>
          <w:rFonts w:ascii="Arial" w:hAnsi="Arial" w:cs="Arial"/>
          <w:noProof/>
          <w:lang w:val="sr-Latn-CS"/>
        </w:rPr>
        <w:t>e, o prosječno ostvarenoj cijeni</w:t>
      </w:r>
      <w:r w:rsidRPr="00AE5C99">
        <w:rPr>
          <w:rFonts w:ascii="Arial" w:hAnsi="Arial" w:cs="Arial"/>
          <w:noProof/>
          <w:lang w:val="sr-Latn-CS"/>
        </w:rPr>
        <w:t xml:space="preserve"> proizvoda mineralnih sirovi</w:t>
      </w:r>
      <w:r w:rsidR="007A026F" w:rsidRPr="00AE5C99">
        <w:rPr>
          <w:rFonts w:ascii="Arial" w:hAnsi="Arial" w:cs="Arial"/>
          <w:noProof/>
          <w:lang w:val="sr-Latn-CS"/>
        </w:rPr>
        <w:t>na</w:t>
      </w:r>
      <w:r w:rsidR="00E23D42" w:rsidRPr="00AE5C99">
        <w:rPr>
          <w:rFonts w:ascii="Arial" w:hAnsi="Arial" w:cs="Arial"/>
          <w:noProof/>
          <w:lang w:val="sr-Latn-CS"/>
        </w:rPr>
        <w:t xml:space="preserve"> u Crnoj Gori u 201</w:t>
      </w:r>
      <w:r w:rsidR="008F3318" w:rsidRPr="00AE5C99">
        <w:rPr>
          <w:rFonts w:ascii="Arial" w:hAnsi="Arial" w:cs="Arial"/>
          <w:noProof/>
          <w:lang w:val="sr-Latn-CS"/>
        </w:rPr>
        <w:t>8</w:t>
      </w:r>
      <w:r w:rsidR="00D60EC4" w:rsidRPr="00AE5C99">
        <w:rPr>
          <w:rFonts w:ascii="Arial" w:hAnsi="Arial" w:cs="Arial"/>
          <w:noProof/>
          <w:lang w:val="sr-Latn-CS"/>
        </w:rPr>
        <w:t>. godini;</w:t>
      </w:r>
    </w:p>
    <w:p w:rsidR="00D60EC4" w:rsidRPr="00AE5C99" w:rsidRDefault="003B2357" w:rsidP="00AE5C99">
      <w:pPr>
        <w:pStyle w:val="ListParagraph"/>
        <w:numPr>
          <w:ilvl w:val="0"/>
          <w:numId w:val="11"/>
        </w:numPr>
        <w:suppressAutoHyphens/>
        <w:spacing w:after="0" w:line="240" w:lineRule="auto"/>
        <w:jc w:val="both"/>
        <w:rPr>
          <w:rFonts w:ascii="Arial" w:hAnsi="Arial" w:cs="Arial"/>
          <w:lang w:val="sr-Latn-CS"/>
        </w:rPr>
      </w:pPr>
      <w:r w:rsidRPr="00AE5C99">
        <w:rPr>
          <w:rFonts w:ascii="Arial" w:hAnsi="Arial" w:cs="Arial"/>
          <w:lang w:val="pl-PL"/>
        </w:rPr>
        <w:t xml:space="preserve">Tehnički izvještaj </w:t>
      </w:r>
      <w:r w:rsidRPr="00AE5C99">
        <w:rPr>
          <w:rFonts w:ascii="Arial" w:hAnsi="Arial" w:cs="Arial"/>
          <w:lang w:val="sr-Latn-CS"/>
        </w:rPr>
        <w:t xml:space="preserve">sa </w:t>
      </w:r>
      <w:r w:rsidRPr="00AE5C99">
        <w:rPr>
          <w:rFonts w:ascii="Arial" w:hAnsi="Arial" w:cs="Arial"/>
          <w:lang w:val="pl-PL"/>
        </w:rPr>
        <w:t>koordinatama graničnih tačaka istražno- eksploatacionog prostora</w:t>
      </w:r>
      <w:r w:rsidRPr="00AE5C99">
        <w:rPr>
          <w:rFonts w:ascii="Arial" w:hAnsi="Arial" w:cs="Arial"/>
          <w:lang w:val="sr-Latn-CS"/>
        </w:rPr>
        <w:t xml:space="preserve"> </w:t>
      </w:r>
      <w:r w:rsidR="00D60EC4" w:rsidRPr="00AE5C99">
        <w:rPr>
          <w:rFonts w:ascii="Arial" w:hAnsi="Arial" w:cs="Arial"/>
          <w:lang w:val="sr-Latn-CS"/>
        </w:rPr>
        <w:t>„Velji Zabio”.</w:t>
      </w:r>
    </w:p>
    <w:p w:rsidR="00A60874" w:rsidRPr="00AE5C99" w:rsidRDefault="00A60874" w:rsidP="00AE5C99">
      <w:pPr>
        <w:suppressAutoHyphens/>
        <w:spacing w:after="0" w:line="240" w:lineRule="auto"/>
        <w:ind w:left="360"/>
        <w:jc w:val="both"/>
        <w:rPr>
          <w:rFonts w:ascii="Arial" w:hAnsi="Arial" w:cs="Arial"/>
          <w:noProof/>
          <w:lang w:val="sr-Latn-CS"/>
        </w:rPr>
      </w:pPr>
    </w:p>
    <w:p w:rsidR="002E4676" w:rsidRPr="00AE5C99" w:rsidRDefault="002E4676" w:rsidP="00AE5C99">
      <w:pPr>
        <w:spacing w:after="0" w:line="240" w:lineRule="auto"/>
        <w:rPr>
          <w:rFonts w:ascii="Arial" w:hAnsi="Arial" w:cs="Arial"/>
          <w:b/>
          <w:noProof/>
          <w:lang w:val="sr-Latn-CS"/>
        </w:rPr>
      </w:pPr>
      <w:r w:rsidRPr="00AE5C99">
        <w:rPr>
          <w:rFonts w:ascii="Arial" w:hAnsi="Arial" w:cs="Arial"/>
          <w:b/>
          <w:noProof/>
          <w:lang w:val="sr-Latn-CS"/>
        </w:rPr>
        <w:t>Zakonski propisi korišćeni pri izradi Koncesionog akta:</w:t>
      </w:r>
    </w:p>
    <w:p w:rsidR="00D021C0" w:rsidRPr="00AE5C99" w:rsidRDefault="00D021C0" w:rsidP="00AE5C99">
      <w:pPr>
        <w:spacing w:after="0" w:line="240" w:lineRule="auto"/>
        <w:rPr>
          <w:rFonts w:ascii="Arial" w:hAnsi="Arial" w:cs="Arial"/>
          <w:b/>
          <w:noProof/>
          <w:lang w:val="sr-Latn-CS"/>
        </w:rPr>
      </w:pPr>
    </w:p>
    <w:p w:rsidR="00F0778D"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Zakon o koncesijama („Sl. lis</w:t>
      </w:r>
      <w:r w:rsidR="007455EB" w:rsidRPr="00AE5C99">
        <w:rPr>
          <w:rFonts w:ascii="Arial" w:hAnsi="Arial" w:cs="Arial"/>
          <w:noProof/>
          <w:lang w:val="sr-Latn-CS"/>
        </w:rPr>
        <w:t xml:space="preserve">t CG“, br. </w:t>
      </w:r>
      <w:r w:rsidRPr="00AE5C99">
        <w:rPr>
          <w:rFonts w:ascii="Arial" w:hAnsi="Arial" w:cs="Arial"/>
          <w:noProof/>
          <w:lang w:val="sr-Latn-CS"/>
        </w:rPr>
        <w:t>8/09);</w:t>
      </w:r>
    </w:p>
    <w:p w:rsidR="00F0778D"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Zakon o ruda</w:t>
      </w:r>
      <w:r w:rsidR="009B3DEE" w:rsidRPr="00AE5C99">
        <w:rPr>
          <w:rFonts w:ascii="Arial" w:hAnsi="Arial" w:cs="Arial"/>
          <w:noProof/>
          <w:lang w:val="sr-Latn-CS"/>
        </w:rPr>
        <w:t>rstvu („Sl. list CG“, br. 65/08</w:t>
      </w:r>
      <w:r w:rsidR="007455EB" w:rsidRPr="00AE5C99">
        <w:rPr>
          <w:rFonts w:ascii="Arial" w:hAnsi="Arial" w:cs="Arial"/>
          <w:noProof/>
          <w:lang w:val="sr-Latn-CS"/>
        </w:rPr>
        <w:t>, 74/10 i 40/11</w:t>
      </w:r>
      <w:r w:rsidRPr="00AE5C99">
        <w:rPr>
          <w:rFonts w:ascii="Arial" w:hAnsi="Arial" w:cs="Arial"/>
          <w:noProof/>
          <w:lang w:val="sr-Latn-CS"/>
        </w:rPr>
        <w:t>);</w:t>
      </w:r>
    </w:p>
    <w:p w:rsidR="00F0778D"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Zako</w:t>
      </w:r>
      <w:r w:rsidR="004C0BB8" w:rsidRPr="00AE5C99">
        <w:rPr>
          <w:rFonts w:ascii="Arial" w:hAnsi="Arial" w:cs="Arial"/>
          <w:noProof/>
          <w:lang w:val="sr-Latn-CS"/>
        </w:rPr>
        <w:t>n o geološkim istraživanjima („</w:t>
      </w:r>
      <w:r w:rsidRPr="00AE5C99">
        <w:rPr>
          <w:rFonts w:ascii="Arial" w:hAnsi="Arial" w:cs="Arial"/>
          <w:noProof/>
          <w:lang w:val="sr-Latn-CS"/>
        </w:rPr>
        <w:t>Sl. list RCG’’, br. 28/93, 27/94, 42/94 i 26/07 i „Sl. list CG“, br. 28/11);</w:t>
      </w:r>
    </w:p>
    <w:p w:rsidR="00F0778D"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Zakon o procjeni uticaja na životnu sredinu („Sl. list RCG“, br. 80/05 i „Sl. lis</w:t>
      </w:r>
      <w:r w:rsidR="009B3DEE" w:rsidRPr="00AE5C99">
        <w:rPr>
          <w:rFonts w:ascii="Arial" w:hAnsi="Arial" w:cs="Arial"/>
          <w:noProof/>
          <w:lang w:val="sr-Latn-CS"/>
        </w:rPr>
        <w:t>t CG“, br. 40/10, 73/10, 40/11,</w:t>
      </w:r>
      <w:r w:rsidRPr="00AE5C99">
        <w:rPr>
          <w:rFonts w:ascii="Arial" w:hAnsi="Arial" w:cs="Arial"/>
          <w:noProof/>
          <w:lang w:val="sr-Latn-CS"/>
        </w:rPr>
        <w:t xml:space="preserve"> 27/13</w:t>
      </w:r>
      <w:r w:rsidR="009B3DEE" w:rsidRPr="00AE5C99">
        <w:rPr>
          <w:rFonts w:ascii="Arial" w:hAnsi="Arial" w:cs="Arial"/>
          <w:noProof/>
          <w:lang w:val="sr-Latn-CS"/>
        </w:rPr>
        <w:t xml:space="preserve"> i 52/16</w:t>
      </w:r>
      <w:r w:rsidRPr="00AE5C99">
        <w:rPr>
          <w:rFonts w:ascii="Arial" w:hAnsi="Arial" w:cs="Arial"/>
          <w:noProof/>
          <w:lang w:val="sr-Latn-CS"/>
        </w:rPr>
        <w:t>);</w:t>
      </w:r>
    </w:p>
    <w:p w:rsidR="00F0778D"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Uredba o kriterijumima i načinu obračuna iznosa minimalne koncesione naknade za ustupanje prava na istraživanje i eksploataciju mineralnih sirovina („Sl. list CG“, br. 37/11</w:t>
      </w:r>
      <w:r w:rsidR="00682440" w:rsidRPr="00AE5C99">
        <w:rPr>
          <w:rFonts w:ascii="Arial" w:hAnsi="Arial" w:cs="Arial"/>
          <w:noProof/>
          <w:lang w:val="sr-Latn-CS"/>
        </w:rPr>
        <w:t xml:space="preserve"> i 40/16</w:t>
      </w:r>
      <w:r w:rsidRPr="00AE5C99">
        <w:rPr>
          <w:rFonts w:ascii="Arial" w:hAnsi="Arial" w:cs="Arial"/>
          <w:noProof/>
          <w:lang w:val="sr-Latn-CS"/>
        </w:rPr>
        <w:t>);</w:t>
      </w:r>
    </w:p>
    <w:p w:rsidR="002E4676" w:rsidRPr="00AE5C99" w:rsidRDefault="00F0778D" w:rsidP="00AE5C99">
      <w:pPr>
        <w:numPr>
          <w:ilvl w:val="0"/>
          <w:numId w:val="12"/>
        </w:numPr>
        <w:suppressAutoHyphens/>
        <w:spacing w:after="0" w:line="240" w:lineRule="auto"/>
        <w:jc w:val="both"/>
        <w:rPr>
          <w:rFonts w:ascii="Arial" w:hAnsi="Arial" w:cs="Arial"/>
          <w:noProof/>
          <w:lang w:val="sr-Latn-CS"/>
        </w:rPr>
      </w:pPr>
      <w:r w:rsidRPr="00AE5C99">
        <w:rPr>
          <w:rFonts w:ascii="Arial" w:hAnsi="Arial" w:cs="Arial"/>
          <w:noProof/>
          <w:lang w:val="sr-Latn-CS"/>
        </w:rPr>
        <w:t>Uredba o visini sredstava za sanaciju i rekultivaciju prostora na kojem se izvode rudarski radovi, načinu obračunavanja, plaćanja i korišćenja tih sredstava („Sl. list CG“, br. 51/11).</w:t>
      </w:r>
    </w:p>
    <w:p w:rsidR="00D021C0" w:rsidRPr="00AE5C99" w:rsidRDefault="00D021C0" w:rsidP="00AE5C99">
      <w:pPr>
        <w:suppressAutoHyphens/>
        <w:spacing w:after="0" w:line="240" w:lineRule="auto"/>
        <w:ind w:left="360"/>
        <w:jc w:val="both"/>
        <w:rPr>
          <w:rFonts w:ascii="Arial" w:hAnsi="Arial" w:cs="Arial"/>
          <w:noProof/>
          <w:lang w:val="sr-Latn-CS"/>
        </w:rPr>
      </w:pPr>
    </w:p>
    <w:p w:rsidR="00437FB1" w:rsidRPr="00AE5C99" w:rsidRDefault="002E4676" w:rsidP="00AE5C99">
      <w:pPr>
        <w:spacing w:after="0" w:line="240" w:lineRule="auto"/>
        <w:jc w:val="both"/>
        <w:rPr>
          <w:rFonts w:ascii="Arial" w:hAnsi="Arial" w:cs="Arial"/>
          <w:noProof/>
          <w:lang w:val="sr-Latn-CS"/>
        </w:rPr>
      </w:pPr>
      <w:r w:rsidRPr="00AE5C99">
        <w:rPr>
          <w:rFonts w:ascii="Arial" w:hAnsi="Arial" w:cs="Arial"/>
          <w:b/>
          <w:noProof/>
          <w:lang w:val="sr-Latn-CS"/>
        </w:rPr>
        <w:t>Mjesto i vrijeme izrade Koncesionog akta:</w:t>
      </w:r>
      <w:r w:rsidR="00437FB1" w:rsidRPr="00AE5C99">
        <w:rPr>
          <w:rFonts w:ascii="Arial" w:hAnsi="Arial" w:cs="Arial"/>
          <w:b/>
          <w:noProof/>
          <w:lang w:val="sr-Latn-CS"/>
        </w:rPr>
        <w:t xml:space="preserve"> </w:t>
      </w:r>
      <w:r w:rsidR="00437FB1" w:rsidRPr="00AE5C99">
        <w:rPr>
          <w:rFonts w:ascii="Arial" w:hAnsi="Arial" w:cs="Arial"/>
          <w:noProof/>
          <w:lang w:val="sr-Latn-CS"/>
        </w:rPr>
        <w:t xml:space="preserve">Podgorica, </w:t>
      </w:r>
      <w:r w:rsidR="006256AA" w:rsidRPr="00AE5C99">
        <w:rPr>
          <w:rFonts w:ascii="Arial" w:hAnsi="Arial" w:cs="Arial"/>
          <w:noProof/>
          <w:lang w:val="sr-Latn-CS"/>
        </w:rPr>
        <w:t>jul</w:t>
      </w:r>
      <w:r w:rsidR="00A700A0" w:rsidRPr="00AE5C99">
        <w:rPr>
          <w:rFonts w:ascii="Arial" w:hAnsi="Arial" w:cs="Arial"/>
          <w:noProof/>
          <w:lang w:val="sr-Latn-CS"/>
        </w:rPr>
        <w:t xml:space="preserve"> </w:t>
      </w:r>
      <w:r w:rsidR="00437FB1" w:rsidRPr="00AE5C99">
        <w:rPr>
          <w:rFonts w:ascii="Arial" w:hAnsi="Arial" w:cs="Arial"/>
          <w:noProof/>
          <w:lang w:val="sr-Latn-CS"/>
        </w:rPr>
        <w:t>201</w:t>
      </w:r>
      <w:r w:rsidR="00D17158" w:rsidRPr="00AE5C99">
        <w:rPr>
          <w:rFonts w:ascii="Arial" w:hAnsi="Arial" w:cs="Arial"/>
          <w:noProof/>
          <w:lang w:val="sr-Latn-CS"/>
        </w:rPr>
        <w:t>9</w:t>
      </w:r>
      <w:r w:rsidR="00437FB1" w:rsidRPr="00AE5C99">
        <w:rPr>
          <w:rFonts w:ascii="Arial" w:hAnsi="Arial" w:cs="Arial"/>
          <w:noProof/>
          <w:lang w:val="sr-Latn-CS"/>
        </w:rPr>
        <w:t>. godine.</w:t>
      </w:r>
    </w:p>
    <w:p w:rsidR="00CF0703" w:rsidRPr="00AE5C99" w:rsidRDefault="00CF0703" w:rsidP="00AE5C99">
      <w:pPr>
        <w:spacing w:line="240" w:lineRule="auto"/>
        <w:rPr>
          <w:rFonts w:ascii="Arial" w:hAnsi="Arial" w:cs="Arial"/>
          <w:noProof/>
          <w:lang w:val="sr-Latn-CS"/>
        </w:rPr>
      </w:pPr>
      <w:r w:rsidRPr="00AE5C99">
        <w:rPr>
          <w:rFonts w:ascii="Arial" w:hAnsi="Arial" w:cs="Arial"/>
          <w:noProof/>
          <w:lang w:val="sr-Latn-CS"/>
        </w:rPr>
        <w:br w:type="page"/>
      </w:r>
    </w:p>
    <w:p w:rsidR="008E7826" w:rsidRPr="00AE5C99" w:rsidRDefault="00A87E2C" w:rsidP="00AE5C99">
      <w:pPr>
        <w:spacing w:line="240" w:lineRule="auto"/>
        <w:rPr>
          <w:rFonts w:ascii="Arial" w:hAnsi="Arial" w:cs="Arial"/>
          <w:b/>
          <w:noProof/>
          <w:lang w:val="sr-Latn-CS"/>
        </w:rPr>
      </w:pPr>
      <w:r w:rsidRPr="00AE5C99">
        <w:rPr>
          <w:rFonts w:ascii="Arial" w:hAnsi="Arial" w:cs="Arial"/>
          <w:b/>
          <w:noProof/>
          <w:lang w:val="sr-Latn-CS"/>
        </w:rPr>
        <w:lastRenderedPageBreak/>
        <w:t>Sadržaj</w:t>
      </w:r>
    </w:p>
    <w:p w:rsidR="00A87E2C" w:rsidRPr="00AE5C99" w:rsidRDefault="00A87E2C" w:rsidP="00AE5C99">
      <w:pPr>
        <w:spacing w:after="0" w:line="240" w:lineRule="auto"/>
        <w:jc w:val="both"/>
        <w:rPr>
          <w:rFonts w:ascii="Arial" w:hAnsi="Arial" w:cs="Arial"/>
          <w:b/>
          <w:noProof/>
          <w:lang w:val="sr-Latn-CS"/>
        </w:rPr>
      </w:pPr>
    </w:p>
    <w:p w:rsidR="003A2272" w:rsidRPr="00AE5C99" w:rsidRDefault="00B77CFF" w:rsidP="00AE5C99">
      <w:pPr>
        <w:pStyle w:val="TOC1"/>
        <w:tabs>
          <w:tab w:val="left" w:pos="440"/>
          <w:tab w:val="right" w:leader="dot" w:pos="9350"/>
        </w:tabs>
        <w:spacing w:line="240" w:lineRule="auto"/>
        <w:rPr>
          <w:rFonts w:ascii="Arial" w:eastAsiaTheme="minorEastAsia" w:hAnsi="Arial" w:cs="Arial"/>
          <w:noProof/>
          <w:kern w:val="0"/>
          <w:lang w:val="sr-Latn-CS" w:eastAsia="en-GB"/>
        </w:rPr>
      </w:pPr>
      <w:r w:rsidRPr="00AE5C99">
        <w:rPr>
          <w:rFonts w:ascii="Arial" w:hAnsi="Arial" w:cs="Arial"/>
          <w:b/>
          <w:noProof/>
          <w:lang w:val="sr-Latn-CS"/>
        </w:rPr>
        <w:fldChar w:fldCharType="begin"/>
      </w:r>
      <w:r w:rsidR="003A2272" w:rsidRPr="00AE5C99">
        <w:rPr>
          <w:rFonts w:ascii="Arial" w:hAnsi="Arial" w:cs="Arial"/>
          <w:b/>
          <w:noProof/>
          <w:lang w:val="sr-Latn-CS"/>
        </w:rPr>
        <w:instrText xml:space="preserve"> TOC \o "1-1" \h \z \u </w:instrText>
      </w:r>
      <w:r w:rsidRPr="00AE5C99">
        <w:rPr>
          <w:rFonts w:ascii="Arial" w:hAnsi="Arial" w:cs="Arial"/>
          <w:b/>
          <w:noProof/>
          <w:lang w:val="sr-Latn-CS"/>
        </w:rPr>
        <w:fldChar w:fldCharType="separate"/>
      </w:r>
      <w:hyperlink w:anchor="_Toc4581255" w:history="1">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Uvod</w:t>
        </w:r>
        <w:r w:rsidR="003A2272" w:rsidRPr="00AE5C99">
          <w:rPr>
            <w:rFonts w:ascii="Arial" w:hAnsi="Arial" w:cs="Arial"/>
            <w:noProof/>
            <w:webHidden/>
            <w:lang w:val="sr-Latn-CS"/>
          </w:rPr>
          <w:tab/>
        </w:r>
        <w:r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_Toc4581255 \h </w:instrText>
        </w:r>
        <w:r w:rsidRPr="00AE5C99">
          <w:rPr>
            <w:rFonts w:ascii="Arial" w:hAnsi="Arial" w:cs="Arial"/>
            <w:noProof/>
            <w:webHidden/>
            <w:lang w:val="sr-Latn-CS"/>
          </w:rPr>
        </w:r>
        <w:r w:rsidRPr="00AE5C99">
          <w:rPr>
            <w:rFonts w:ascii="Arial" w:hAnsi="Arial" w:cs="Arial"/>
            <w:noProof/>
            <w:webHidden/>
            <w:lang w:val="sr-Latn-CS"/>
          </w:rPr>
          <w:fldChar w:fldCharType="separate"/>
        </w:r>
        <w:r w:rsidR="00295CAB" w:rsidRPr="00AE5C99">
          <w:rPr>
            <w:rFonts w:ascii="Arial" w:hAnsi="Arial" w:cs="Arial"/>
            <w:noProof/>
            <w:webHidden/>
            <w:lang w:val="sr-Latn-CS"/>
          </w:rPr>
          <w:t>5</w:t>
        </w:r>
        <w:r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56" w:history="1">
        <w:r w:rsidR="00E21B44" w:rsidRPr="00AE5C99">
          <w:rPr>
            <w:rStyle w:val="Hyperlink"/>
            <w:rFonts w:ascii="Arial" w:hAnsi="Arial" w:cs="Arial"/>
            <w:noProof/>
            <w:color w:val="auto"/>
            <w:lang w:val="sr-Latn-CS"/>
          </w:rPr>
          <w:t>1.</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 xml:space="preserve">Tehnički izvještaj o </w:t>
        </w:r>
        <w:r w:rsidR="0073163D" w:rsidRPr="00AE5C99">
          <w:rPr>
            <w:rStyle w:val="Hyperlink"/>
            <w:rFonts w:ascii="Arial" w:hAnsi="Arial" w:cs="Arial"/>
            <w:noProof/>
            <w:color w:val="auto"/>
            <w:lang w:val="sr-Latn-CS"/>
          </w:rPr>
          <w:t>ležištu</w:t>
        </w:r>
        <w:r w:rsidR="003A2272" w:rsidRPr="00AE5C99">
          <w:rPr>
            <w:rStyle w:val="Hyperlink"/>
            <w:rFonts w:ascii="Arial" w:hAnsi="Arial" w:cs="Arial"/>
            <w:noProof/>
            <w:color w:val="auto"/>
            <w:lang w:val="sr-Latn-CS"/>
          </w:rPr>
          <w:t xml:space="preserve"> tehničko-građevinskog kamena </w:t>
        </w:r>
        <w:r w:rsidR="001D297B" w:rsidRPr="00AE5C99">
          <w:rPr>
            <w:rStyle w:val="Hyperlink"/>
            <w:rFonts w:ascii="Arial" w:hAnsi="Arial" w:cs="Arial"/>
            <w:noProof/>
            <w:color w:val="auto"/>
            <w:lang w:val="sr-Latn-CS"/>
          </w:rPr>
          <w:t>“Velji Zabio”</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_Toc4581256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6</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57" w:history="1">
        <w:r w:rsidR="00E21B44" w:rsidRPr="00AE5C99">
          <w:rPr>
            <w:rStyle w:val="Hyperlink"/>
            <w:rFonts w:ascii="Arial" w:hAnsi="Arial" w:cs="Arial"/>
            <w:noProof/>
            <w:color w:val="auto"/>
            <w:lang w:val="sr-Latn-CS"/>
          </w:rPr>
          <w:t>2.</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Rok trajanja koncesije</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_Toc4581257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12</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58" w:history="1">
        <w:r w:rsidR="00E21B44" w:rsidRPr="00AE5C99">
          <w:rPr>
            <w:rStyle w:val="Hyperlink"/>
            <w:rFonts w:ascii="Arial" w:hAnsi="Arial" w:cs="Arial"/>
            <w:noProof/>
            <w:color w:val="auto"/>
            <w:lang w:val="sr-Latn-CS"/>
          </w:rPr>
          <w:t>3.</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Osnovni parametri za ocjenu ekonomske opravdanosti investicije</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_Toc4581258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13</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59" w:history="1">
        <w:r w:rsidR="00E21B44" w:rsidRPr="00AE5C99">
          <w:rPr>
            <w:rStyle w:val="Hyperlink"/>
            <w:rFonts w:ascii="Arial" w:hAnsi="Arial" w:cs="Arial"/>
            <w:noProof/>
            <w:color w:val="auto"/>
            <w:lang w:val="sr-Latn-CS"/>
          </w:rPr>
          <w:t>4.</w:t>
        </w:r>
        <w:r w:rsidR="003A2272" w:rsidRPr="00AE5C99">
          <w:rPr>
            <w:rStyle w:val="Hyperlink"/>
            <w:rFonts w:ascii="Arial" w:hAnsi="Arial" w:cs="Arial"/>
            <w:noProof/>
            <w:color w:val="auto"/>
            <w:lang w:val="sr-Latn-CS"/>
          </w:rPr>
          <w:t>.</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Mjere za zaštitu životne sredine</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_Toc4581259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15</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60" w:history="1">
        <w:r w:rsidR="00E21B44" w:rsidRPr="00AE5C99">
          <w:rPr>
            <w:rStyle w:val="Hyperlink"/>
            <w:rFonts w:ascii="Arial" w:hAnsi="Arial" w:cs="Arial"/>
            <w:noProof/>
            <w:color w:val="auto"/>
            <w:lang w:val="sr-Latn-CS"/>
          </w:rPr>
          <w:t>5</w:t>
        </w:r>
        <w:r w:rsidR="003A2272" w:rsidRPr="00AE5C99">
          <w:rPr>
            <w:rStyle w:val="Hyperlink"/>
            <w:rFonts w:ascii="Arial" w:hAnsi="Arial" w:cs="Arial"/>
            <w:noProof/>
            <w:color w:val="auto"/>
            <w:lang w:val="sr-Latn-CS"/>
          </w:rPr>
          <w:t>.</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 xml:space="preserve">Rekultivacija istražno-eksploatacionog prostora </w:t>
        </w:r>
        <w:r w:rsidR="001D297B" w:rsidRPr="00AE5C99">
          <w:rPr>
            <w:rStyle w:val="Hyperlink"/>
            <w:rFonts w:ascii="Arial" w:hAnsi="Arial" w:cs="Arial"/>
            <w:noProof/>
            <w:color w:val="auto"/>
            <w:lang w:val="sr-Latn-CS"/>
          </w:rPr>
          <w:t>“Velji Zabio”</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_Toc4581260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16</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61" w:history="1">
        <w:r w:rsidR="00E21B44" w:rsidRPr="00AE5C99">
          <w:rPr>
            <w:rStyle w:val="Hyperlink"/>
            <w:rFonts w:ascii="Arial" w:hAnsi="Arial" w:cs="Arial"/>
            <w:noProof/>
            <w:color w:val="auto"/>
            <w:lang w:val="sr-Latn-CS"/>
          </w:rPr>
          <w:t>6.</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Unapređenje energetske efikasnosti</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_Toc4581261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17</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62" w:history="1">
        <w:r w:rsidR="00E21B44" w:rsidRPr="00AE5C99">
          <w:rPr>
            <w:rStyle w:val="Hyperlink"/>
            <w:rFonts w:ascii="Arial" w:hAnsi="Arial" w:cs="Arial"/>
            <w:noProof/>
            <w:color w:val="auto"/>
            <w:lang w:val="sr-Latn-CS"/>
          </w:rPr>
          <w:t>7.</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Uslovi koje je dužan da ispunjava koncesionar u pogledu tehničke opremljenosti, finansijske sposobnosti i ostale reference i dokaze o ispunjavanju tih uslova</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_Toc4581262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17</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440"/>
          <w:tab w:val="right" w:leader="dot" w:pos="9350"/>
        </w:tabs>
        <w:spacing w:line="240" w:lineRule="auto"/>
        <w:rPr>
          <w:rFonts w:ascii="Arial" w:eastAsiaTheme="minorEastAsia" w:hAnsi="Arial" w:cs="Arial"/>
          <w:noProof/>
          <w:kern w:val="0"/>
          <w:lang w:val="sr-Latn-CS" w:eastAsia="en-GB"/>
        </w:rPr>
      </w:pPr>
      <w:hyperlink w:anchor="_Toc4581263" w:history="1">
        <w:r w:rsidR="00E21B44" w:rsidRPr="00AE5C99">
          <w:rPr>
            <w:rStyle w:val="Hyperlink"/>
            <w:rFonts w:ascii="Arial" w:hAnsi="Arial" w:cs="Arial"/>
            <w:noProof/>
            <w:color w:val="auto"/>
            <w:lang w:val="sr-Latn-CS"/>
          </w:rPr>
          <w:t>8.</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Minimalni – početni iznos koncesione naknade</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_Toc4581263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18</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660"/>
          <w:tab w:val="right" w:leader="dot" w:pos="9350"/>
        </w:tabs>
        <w:spacing w:line="240" w:lineRule="auto"/>
        <w:rPr>
          <w:rFonts w:ascii="Arial" w:eastAsiaTheme="minorEastAsia" w:hAnsi="Arial" w:cs="Arial"/>
          <w:noProof/>
          <w:kern w:val="0"/>
          <w:lang w:val="sr-Latn-CS" w:eastAsia="en-GB"/>
        </w:rPr>
      </w:pPr>
      <w:hyperlink w:anchor="_Toc4581264" w:history="1">
        <w:r w:rsidR="00E21B44" w:rsidRPr="00AE5C99">
          <w:rPr>
            <w:rStyle w:val="Hyperlink"/>
            <w:rFonts w:ascii="Arial" w:hAnsi="Arial" w:cs="Arial"/>
            <w:noProof/>
            <w:color w:val="auto"/>
            <w:lang w:val="sr-Latn-CS"/>
          </w:rPr>
          <w:t>9.</w:t>
        </w:r>
        <w:r w:rsidR="003A2272" w:rsidRPr="00AE5C99">
          <w:rPr>
            <w:rStyle w:val="Hyperlink"/>
            <w:rFonts w:ascii="Arial" w:hAnsi="Arial" w:cs="Arial"/>
            <w:noProof/>
            <w:color w:val="auto"/>
            <w:lang w:val="sr-Latn-CS"/>
          </w:rPr>
          <w:t>.</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Kriterijumi za izbor najpovoljnije ponude</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_Toc4581264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20</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660"/>
          <w:tab w:val="right" w:leader="dot" w:pos="9350"/>
        </w:tabs>
        <w:spacing w:line="240" w:lineRule="auto"/>
        <w:rPr>
          <w:rFonts w:ascii="Arial" w:eastAsiaTheme="minorEastAsia" w:hAnsi="Arial" w:cs="Arial"/>
          <w:noProof/>
          <w:kern w:val="0"/>
          <w:lang w:val="sr-Latn-CS" w:eastAsia="en-GB"/>
        </w:rPr>
      </w:pPr>
      <w:hyperlink w:anchor="_Toc4581265" w:history="1">
        <w:r w:rsidR="003A2272" w:rsidRPr="00AE5C99">
          <w:rPr>
            <w:rStyle w:val="Hyperlink"/>
            <w:rFonts w:ascii="Arial" w:hAnsi="Arial" w:cs="Arial"/>
            <w:noProof/>
            <w:color w:val="auto"/>
            <w:lang w:val="sr-Latn-CS"/>
          </w:rPr>
          <w:t>1</w:t>
        </w:r>
        <w:r w:rsidR="00E21B44" w:rsidRPr="00AE5C99">
          <w:rPr>
            <w:rStyle w:val="Hyperlink"/>
            <w:rFonts w:ascii="Arial" w:hAnsi="Arial" w:cs="Arial"/>
            <w:noProof/>
            <w:color w:val="auto"/>
            <w:lang w:val="sr-Latn-CS"/>
          </w:rPr>
          <w:t>0.</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Spisak potrebne tehničke dokumentacije sa uslovima za njenu izradu, odobrenja, saglasnosti i mišljenja za obavljanje koncesione djelatnosti</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_Toc4581265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22</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660"/>
          <w:tab w:val="right" w:leader="dot" w:pos="9350"/>
        </w:tabs>
        <w:spacing w:line="240" w:lineRule="auto"/>
        <w:rPr>
          <w:rFonts w:ascii="Arial" w:eastAsiaTheme="minorEastAsia" w:hAnsi="Arial" w:cs="Arial"/>
          <w:noProof/>
          <w:kern w:val="0"/>
          <w:lang w:val="sr-Latn-CS" w:eastAsia="en-GB"/>
        </w:rPr>
      </w:pPr>
      <w:hyperlink w:anchor="_Toc4581266" w:history="1">
        <w:r w:rsidR="003A2272" w:rsidRPr="00AE5C99">
          <w:rPr>
            <w:rStyle w:val="Hyperlink"/>
            <w:rFonts w:ascii="Arial" w:hAnsi="Arial" w:cs="Arial"/>
            <w:noProof/>
            <w:color w:val="auto"/>
            <w:lang w:val="sr-Latn-CS"/>
          </w:rPr>
          <w:t>1</w:t>
        </w:r>
        <w:r w:rsidR="00E21B44" w:rsidRPr="00AE5C99">
          <w:rPr>
            <w:rStyle w:val="Hyperlink"/>
            <w:rFonts w:ascii="Arial" w:hAnsi="Arial" w:cs="Arial"/>
            <w:noProof/>
            <w:color w:val="auto"/>
            <w:lang w:val="sr-Latn-CS"/>
          </w:rPr>
          <w:t>1</w:t>
        </w:r>
        <w:r w:rsidR="003A2272" w:rsidRPr="00AE5C99">
          <w:rPr>
            <w:rStyle w:val="Hyperlink"/>
            <w:rFonts w:ascii="Arial" w:hAnsi="Arial" w:cs="Arial"/>
            <w:noProof/>
            <w:color w:val="auto"/>
            <w:lang w:val="sr-Latn-CS"/>
          </w:rPr>
          <w:t>.</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Hronologija izrade tehničke dokumentacije i pribavljanje odobrenja i saglasnosti za izvođenje rudarskih radova</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_Toc4581266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24</w:t>
        </w:r>
        <w:r w:rsidR="00B77CFF" w:rsidRPr="00AE5C99">
          <w:rPr>
            <w:rFonts w:ascii="Arial" w:hAnsi="Arial" w:cs="Arial"/>
            <w:noProof/>
            <w:webHidden/>
            <w:lang w:val="sr-Latn-CS"/>
          </w:rPr>
          <w:fldChar w:fldCharType="end"/>
        </w:r>
      </w:hyperlink>
    </w:p>
    <w:p w:rsidR="003A2272" w:rsidRPr="00AE5C99" w:rsidRDefault="002618A1" w:rsidP="00AE5C99">
      <w:pPr>
        <w:pStyle w:val="TOC1"/>
        <w:tabs>
          <w:tab w:val="left" w:pos="660"/>
          <w:tab w:val="right" w:leader="dot" w:pos="9350"/>
        </w:tabs>
        <w:spacing w:line="240" w:lineRule="auto"/>
        <w:rPr>
          <w:rFonts w:ascii="Arial" w:eastAsiaTheme="minorEastAsia" w:hAnsi="Arial" w:cs="Arial"/>
          <w:noProof/>
          <w:spacing w:val="-18"/>
          <w:kern w:val="22"/>
          <w:lang w:val="sr-Latn-CS" w:eastAsia="en-GB"/>
        </w:rPr>
      </w:pPr>
      <w:hyperlink w:anchor="_Toc4581267" w:history="1">
        <w:r w:rsidR="003A2272" w:rsidRPr="00AE5C99">
          <w:rPr>
            <w:rStyle w:val="Hyperlink"/>
            <w:rFonts w:ascii="Arial" w:hAnsi="Arial" w:cs="Arial"/>
            <w:noProof/>
            <w:color w:val="auto"/>
            <w:spacing w:val="-18"/>
            <w:kern w:val="22"/>
            <w:lang w:val="sr-Latn-CS"/>
          </w:rPr>
          <w:t>1</w:t>
        </w:r>
        <w:r w:rsidR="00E21B44" w:rsidRPr="00AE5C99">
          <w:rPr>
            <w:rStyle w:val="Hyperlink"/>
            <w:rFonts w:ascii="Arial" w:hAnsi="Arial" w:cs="Arial"/>
            <w:noProof/>
            <w:color w:val="auto"/>
            <w:spacing w:val="-18"/>
            <w:kern w:val="22"/>
            <w:lang w:val="sr-Latn-CS"/>
          </w:rPr>
          <w:t>2</w:t>
        </w:r>
        <w:r w:rsidR="003A2272" w:rsidRPr="00AE5C99">
          <w:rPr>
            <w:rStyle w:val="Hyperlink"/>
            <w:rFonts w:ascii="Arial" w:hAnsi="Arial" w:cs="Arial"/>
            <w:noProof/>
            <w:color w:val="auto"/>
            <w:spacing w:val="-18"/>
            <w:kern w:val="22"/>
            <w:lang w:val="sr-Latn-CS"/>
          </w:rPr>
          <w:t>.</w:t>
        </w:r>
        <w:r w:rsidR="003A2272" w:rsidRPr="00AE5C99">
          <w:rPr>
            <w:rFonts w:ascii="Arial" w:eastAsiaTheme="minorEastAsia" w:hAnsi="Arial" w:cs="Arial"/>
            <w:noProof/>
            <w:spacing w:val="-18"/>
            <w:kern w:val="22"/>
            <w:lang w:val="sr-Latn-CS" w:eastAsia="en-GB"/>
          </w:rPr>
          <w:tab/>
        </w:r>
        <w:r w:rsidR="003A2272" w:rsidRPr="00AE5C99">
          <w:rPr>
            <w:rStyle w:val="Hyperlink"/>
            <w:rFonts w:ascii="Arial" w:hAnsi="Arial" w:cs="Arial"/>
            <w:noProof/>
            <w:color w:val="auto"/>
            <w:spacing w:val="-18"/>
            <w:kern w:val="22"/>
            <w:lang w:val="sr-Latn-CS"/>
          </w:rPr>
          <w:t>Osnovni elementi tenderske dokumentacije (javni oglas, dokumentacija vezana za oglas)</w:t>
        </w:r>
        <w:r w:rsidR="003A2272" w:rsidRPr="00AE5C99">
          <w:rPr>
            <w:rFonts w:ascii="Arial" w:hAnsi="Arial" w:cs="Arial"/>
            <w:noProof/>
            <w:webHidden/>
            <w:spacing w:val="-18"/>
            <w:kern w:val="22"/>
            <w:lang w:val="sr-Latn-CS"/>
          </w:rPr>
          <w:tab/>
        </w:r>
        <w:r w:rsidR="00B77CFF" w:rsidRPr="00AE5C99">
          <w:rPr>
            <w:rFonts w:ascii="Arial" w:hAnsi="Arial" w:cs="Arial"/>
            <w:noProof/>
            <w:webHidden/>
            <w:spacing w:val="-18"/>
            <w:kern w:val="22"/>
            <w:lang w:val="sr-Latn-CS"/>
          </w:rPr>
          <w:fldChar w:fldCharType="begin"/>
        </w:r>
        <w:r w:rsidR="003A2272" w:rsidRPr="00AE5C99">
          <w:rPr>
            <w:rFonts w:ascii="Arial" w:hAnsi="Arial" w:cs="Arial"/>
            <w:noProof/>
            <w:webHidden/>
            <w:spacing w:val="-18"/>
            <w:kern w:val="22"/>
            <w:lang w:val="sr-Latn-CS"/>
          </w:rPr>
          <w:instrText xml:space="preserve"> PAGEREF _Toc4581267 \h </w:instrText>
        </w:r>
        <w:r w:rsidR="00B77CFF" w:rsidRPr="00AE5C99">
          <w:rPr>
            <w:rFonts w:ascii="Arial" w:hAnsi="Arial" w:cs="Arial"/>
            <w:noProof/>
            <w:webHidden/>
            <w:spacing w:val="-18"/>
            <w:kern w:val="22"/>
            <w:lang w:val="sr-Latn-CS"/>
          </w:rPr>
        </w:r>
        <w:r w:rsidR="00B77CFF" w:rsidRPr="00AE5C99">
          <w:rPr>
            <w:rFonts w:ascii="Arial" w:hAnsi="Arial" w:cs="Arial"/>
            <w:noProof/>
            <w:webHidden/>
            <w:spacing w:val="-18"/>
            <w:kern w:val="22"/>
            <w:lang w:val="sr-Latn-CS"/>
          </w:rPr>
          <w:fldChar w:fldCharType="separate"/>
        </w:r>
        <w:r w:rsidR="00295CAB" w:rsidRPr="00AE5C99">
          <w:rPr>
            <w:rFonts w:ascii="Arial" w:hAnsi="Arial" w:cs="Arial"/>
            <w:noProof/>
            <w:webHidden/>
            <w:spacing w:val="-18"/>
            <w:kern w:val="22"/>
            <w:lang w:val="sr-Latn-CS"/>
          </w:rPr>
          <w:t>24</w:t>
        </w:r>
        <w:r w:rsidR="00B77CFF" w:rsidRPr="00AE5C99">
          <w:rPr>
            <w:rFonts w:ascii="Arial" w:hAnsi="Arial" w:cs="Arial"/>
            <w:noProof/>
            <w:webHidden/>
            <w:spacing w:val="-18"/>
            <w:kern w:val="22"/>
            <w:lang w:val="sr-Latn-CS"/>
          </w:rPr>
          <w:fldChar w:fldCharType="end"/>
        </w:r>
      </w:hyperlink>
    </w:p>
    <w:p w:rsidR="003A2272" w:rsidRPr="00AE5C99" w:rsidRDefault="002618A1" w:rsidP="00AE5C99">
      <w:pPr>
        <w:pStyle w:val="TOC1"/>
        <w:tabs>
          <w:tab w:val="left" w:pos="660"/>
          <w:tab w:val="right" w:leader="dot" w:pos="9350"/>
        </w:tabs>
        <w:spacing w:line="240" w:lineRule="auto"/>
        <w:rPr>
          <w:rFonts w:ascii="Arial" w:eastAsiaTheme="minorEastAsia" w:hAnsi="Arial" w:cs="Arial"/>
          <w:noProof/>
          <w:kern w:val="0"/>
          <w:lang w:val="sr-Latn-CS" w:eastAsia="en-GB"/>
        </w:rPr>
      </w:pPr>
      <w:hyperlink w:anchor="_Toc4581268" w:history="1">
        <w:r w:rsidR="003A2272" w:rsidRPr="00AE5C99">
          <w:rPr>
            <w:rStyle w:val="Hyperlink"/>
            <w:rFonts w:ascii="Arial" w:hAnsi="Arial" w:cs="Arial"/>
            <w:noProof/>
            <w:color w:val="auto"/>
            <w:lang w:val="sr-Latn-CS"/>
          </w:rPr>
          <w:t>1</w:t>
        </w:r>
        <w:r w:rsidR="00E21B44" w:rsidRPr="00AE5C99">
          <w:rPr>
            <w:rStyle w:val="Hyperlink"/>
            <w:rFonts w:ascii="Arial" w:hAnsi="Arial" w:cs="Arial"/>
            <w:noProof/>
            <w:color w:val="auto"/>
            <w:lang w:val="sr-Latn-CS"/>
          </w:rPr>
          <w:t>3</w:t>
        </w:r>
        <w:r w:rsidR="003A2272" w:rsidRPr="00AE5C99">
          <w:rPr>
            <w:rStyle w:val="Hyperlink"/>
            <w:rFonts w:ascii="Arial" w:hAnsi="Arial" w:cs="Arial"/>
            <w:noProof/>
            <w:color w:val="auto"/>
            <w:lang w:val="sr-Latn-CS"/>
          </w:rPr>
          <w:t>.</w:t>
        </w:r>
        <w:r w:rsidR="003A2272" w:rsidRPr="00AE5C99">
          <w:rPr>
            <w:rFonts w:ascii="Arial" w:eastAsiaTheme="minorEastAsia" w:hAnsi="Arial" w:cs="Arial"/>
            <w:noProof/>
            <w:kern w:val="0"/>
            <w:lang w:val="sr-Latn-CS" w:eastAsia="en-GB"/>
          </w:rPr>
          <w:tab/>
        </w:r>
        <w:r w:rsidR="003A2272" w:rsidRPr="00AE5C99">
          <w:rPr>
            <w:rStyle w:val="Hyperlink"/>
            <w:rFonts w:ascii="Arial" w:hAnsi="Arial" w:cs="Arial"/>
            <w:noProof/>
            <w:color w:val="auto"/>
            <w:lang w:val="sr-Latn-CS"/>
          </w:rPr>
          <w:t>Spisak propisa koji se primijenjuju u postupku davanja koncesije i u vršenju koncesione djelatnosti</w:t>
        </w:r>
        <w:r w:rsidR="003A2272" w:rsidRPr="00AE5C99">
          <w:rPr>
            <w:rFonts w:ascii="Arial" w:hAnsi="Arial" w:cs="Arial"/>
            <w:noProof/>
            <w:webHidden/>
            <w:lang w:val="sr-Latn-CS"/>
          </w:rPr>
          <w:tab/>
        </w:r>
        <w:r w:rsidR="00B77CFF" w:rsidRPr="00AE5C99">
          <w:rPr>
            <w:rFonts w:ascii="Arial" w:hAnsi="Arial" w:cs="Arial"/>
            <w:noProof/>
            <w:webHidden/>
            <w:lang w:val="sr-Latn-CS"/>
          </w:rPr>
          <w:fldChar w:fldCharType="begin"/>
        </w:r>
        <w:r w:rsidR="003A2272" w:rsidRPr="00AE5C99">
          <w:rPr>
            <w:rFonts w:ascii="Arial" w:hAnsi="Arial" w:cs="Arial"/>
            <w:noProof/>
            <w:webHidden/>
            <w:lang w:val="sr-Latn-CS"/>
          </w:rPr>
          <w:instrText xml:space="preserve"> PAGEREF _Toc4581268 \h </w:instrText>
        </w:r>
        <w:r w:rsidR="00B77CFF" w:rsidRPr="00AE5C99">
          <w:rPr>
            <w:rFonts w:ascii="Arial" w:hAnsi="Arial" w:cs="Arial"/>
            <w:noProof/>
            <w:webHidden/>
            <w:lang w:val="sr-Latn-CS"/>
          </w:rPr>
        </w:r>
        <w:r w:rsidR="00B77CFF" w:rsidRPr="00AE5C99">
          <w:rPr>
            <w:rFonts w:ascii="Arial" w:hAnsi="Arial" w:cs="Arial"/>
            <w:noProof/>
            <w:webHidden/>
            <w:lang w:val="sr-Latn-CS"/>
          </w:rPr>
          <w:fldChar w:fldCharType="separate"/>
        </w:r>
        <w:r w:rsidR="00295CAB" w:rsidRPr="00AE5C99">
          <w:rPr>
            <w:rFonts w:ascii="Arial" w:hAnsi="Arial" w:cs="Arial"/>
            <w:noProof/>
            <w:webHidden/>
            <w:lang w:val="sr-Latn-CS"/>
          </w:rPr>
          <w:t>26</w:t>
        </w:r>
        <w:r w:rsidR="00B77CFF" w:rsidRPr="00AE5C99">
          <w:rPr>
            <w:rFonts w:ascii="Arial" w:hAnsi="Arial" w:cs="Arial"/>
            <w:noProof/>
            <w:webHidden/>
            <w:lang w:val="sr-Latn-CS"/>
          </w:rPr>
          <w:fldChar w:fldCharType="end"/>
        </w:r>
      </w:hyperlink>
    </w:p>
    <w:p w:rsidR="00A87E2C" w:rsidRPr="00AE5C99" w:rsidRDefault="00B77CFF" w:rsidP="00AE5C99">
      <w:pPr>
        <w:spacing w:after="0" w:line="240" w:lineRule="auto"/>
        <w:jc w:val="both"/>
        <w:rPr>
          <w:rFonts w:ascii="Arial" w:hAnsi="Arial" w:cs="Arial"/>
          <w:b/>
          <w:noProof/>
          <w:lang w:val="sr-Latn-CS"/>
        </w:rPr>
      </w:pPr>
      <w:r w:rsidRPr="00AE5C99">
        <w:rPr>
          <w:rFonts w:ascii="Arial" w:eastAsia="Arial Unicode MS" w:hAnsi="Arial" w:cs="Arial"/>
          <w:b/>
          <w:noProof/>
          <w:kern w:val="1"/>
          <w:lang w:val="sr-Latn-CS"/>
        </w:rPr>
        <w:fldChar w:fldCharType="end"/>
      </w: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BA158D" w:rsidRDefault="00BA158D" w:rsidP="00AE5C99">
      <w:pPr>
        <w:spacing w:after="0" w:line="240" w:lineRule="auto"/>
        <w:jc w:val="both"/>
        <w:rPr>
          <w:rFonts w:ascii="Arial" w:hAnsi="Arial" w:cs="Arial"/>
          <w:b/>
          <w:noProof/>
          <w:lang w:val="sr-Latn-CS"/>
        </w:rPr>
      </w:pPr>
    </w:p>
    <w:p w:rsidR="006804E1" w:rsidRDefault="006804E1" w:rsidP="00AE5C99">
      <w:pPr>
        <w:spacing w:after="0" w:line="240" w:lineRule="auto"/>
        <w:jc w:val="both"/>
        <w:rPr>
          <w:rFonts w:ascii="Arial" w:hAnsi="Arial" w:cs="Arial"/>
          <w:b/>
          <w:noProof/>
          <w:lang w:val="sr-Latn-CS"/>
        </w:rPr>
      </w:pPr>
    </w:p>
    <w:p w:rsidR="006804E1" w:rsidRDefault="006804E1" w:rsidP="00AE5C99">
      <w:pPr>
        <w:spacing w:after="0" w:line="240" w:lineRule="auto"/>
        <w:jc w:val="both"/>
        <w:rPr>
          <w:rFonts w:ascii="Arial" w:hAnsi="Arial" w:cs="Arial"/>
          <w:b/>
          <w:noProof/>
          <w:lang w:val="sr-Latn-CS"/>
        </w:rPr>
      </w:pPr>
    </w:p>
    <w:p w:rsidR="006804E1" w:rsidRPr="00AE5C99" w:rsidRDefault="006804E1" w:rsidP="00AE5C99">
      <w:pPr>
        <w:spacing w:after="0" w:line="240" w:lineRule="auto"/>
        <w:jc w:val="both"/>
        <w:rPr>
          <w:rFonts w:ascii="Arial" w:hAnsi="Arial" w:cs="Arial"/>
          <w:b/>
          <w:noProof/>
          <w:lang w:val="sr-Latn-CS"/>
        </w:rPr>
      </w:pPr>
    </w:p>
    <w:p w:rsidR="00BA158D" w:rsidRPr="00AE5C99" w:rsidRDefault="00BA158D" w:rsidP="00AE5C99">
      <w:pPr>
        <w:spacing w:after="0" w:line="240" w:lineRule="auto"/>
        <w:jc w:val="both"/>
        <w:rPr>
          <w:rFonts w:ascii="Arial" w:hAnsi="Arial" w:cs="Arial"/>
          <w:b/>
          <w:noProof/>
          <w:lang w:val="sr-Latn-CS"/>
        </w:rPr>
      </w:pPr>
    </w:p>
    <w:p w:rsidR="00BA158D" w:rsidRPr="00AE5C99" w:rsidRDefault="00BA158D"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A87E2C" w:rsidRPr="00AE5C99" w:rsidRDefault="00A87E2C" w:rsidP="00AE5C99">
      <w:pPr>
        <w:spacing w:after="0" w:line="240" w:lineRule="auto"/>
        <w:jc w:val="both"/>
        <w:rPr>
          <w:rFonts w:ascii="Arial" w:hAnsi="Arial" w:cs="Arial"/>
          <w:b/>
          <w:noProof/>
          <w:lang w:val="sr-Latn-CS"/>
        </w:rPr>
      </w:pPr>
    </w:p>
    <w:p w:rsidR="00C521CE" w:rsidRPr="00AE5C99" w:rsidRDefault="00C521CE" w:rsidP="00AE5C99">
      <w:pPr>
        <w:spacing w:after="0" w:line="240" w:lineRule="auto"/>
        <w:jc w:val="both"/>
        <w:rPr>
          <w:rFonts w:ascii="Arial" w:hAnsi="Arial" w:cs="Arial"/>
          <w:b/>
          <w:noProof/>
          <w:lang w:val="sr-Latn-CS"/>
        </w:rPr>
      </w:pPr>
    </w:p>
    <w:p w:rsidR="002E4676" w:rsidRPr="00AE5C99" w:rsidRDefault="006A68F3" w:rsidP="00AE5C99">
      <w:pPr>
        <w:pStyle w:val="Heading1"/>
        <w:rPr>
          <w:noProof/>
          <w:lang w:val="sr-Latn-CS"/>
        </w:rPr>
      </w:pPr>
      <w:bookmarkStart w:id="0" w:name="_Toc4581255"/>
      <w:r w:rsidRPr="00AE5C99">
        <w:rPr>
          <w:noProof/>
          <w:lang w:val="sr-Latn-CS"/>
        </w:rPr>
        <w:lastRenderedPageBreak/>
        <w:t>UVOD</w:t>
      </w:r>
      <w:bookmarkEnd w:id="0"/>
    </w:p>
    <w:p w:rsidR="00D021C0" w:rsidRPr="00AE5C99" w:rsidRDefault="00D021C0" w:rsidP="00AE5C99">
      <w:pPr>
        <w:spacing w:after="0" w:line="240" w:lineRule="auto"/>
        <w:jc w:val="both"/>
        <w:rPr>
          <w:rFonts w:ascii="Arial" w:hAnsi="Arial" w:cs="Arial"/>
          <w:noProof/>
          <w:lang w:val="sr-Latn-CS"/>
        </w:rPr>
      </w:pPr>
    </w:p>
    <w:p w:rsidR="00D17158" w:rsidRPr="00AE5C99" w:rsidRDefault="00D17158" w:rsidP="00AE5C99">
      <w:pPr>
        <w:spacing w:after="0" w:line="240" w:lineRule="auto"/>
        <w:jc w:val="both"/>
        <w:rPr>
          <w:rFonts w:ascii="Arial" w:hAnsi="Arial" w:cs="Arial"/>
          <w:noProof/>
          <w:lang w:val="sr-Latn-CS"/>
        </w:rPr>
      </w:pPr>
      <w:r w:rsidRPr="00AE5C99">
        <w:rPr>
          <w:rFonts w:ascii="Arial" w:hAnsi="Arial" w:cs="Arial"/>
          <w:noProof/>
          <w:lang w:val="sr-Latn-CS"/>
        </w:rPr>
        <w:t>U skladu sa Zakonom o koncesi</w:t>
      </w:r>
      <w:r w:rsidR="00D021C0" w:rsidRPr="00AE5C99">
        <w:rPr>
          <w:rFonts w:ascii="Arial" w:hAnsi="Arial" w:cs="Arial"/>
          <w:noProof/>
          <w:lang w:val="sr-Latn-CS"/>
        </w:rPr>
        <w:t xml:space="preserve">jama („Službeni list CG”, broj </w:t>
      </w:r>
      <w:r w:rsidRPr="00AE5C99">
        <w:rPr>
          <w:rFonts w:ascii="Arial" w:hAnsi="Arial" w:cs="Arial"/>
          <w:noProof/>
          <w:lang w:val="sr-Latn-CS"/>
        </w:rPr>
        <w:t>8/09) i Uredbom o povjeravanju dijela poslova iz nadležnosti Ministarstva ekonomije, JU Zavod za geološka istraživanja („Sl.</w:t>
      </w:r>
      <w:r w:rsidR="004C0BB8" w:rsidRPr="00AE5C99">
        <w:rPr>
          <w:rFonts w:ascii="Arial" w:hAnsi="Arial" w:cs="Arial"/>
          <w:noProof/>
          <w:lang w:val="sr-Latn-CS"/>
        </w:rPr>
        <w:t xml:space="preserve"> </w:t>
      </w:r>
      <w:r w:rsidRPr="00AE5C99">
        <w:rPr>
          <w:rFonts w:ascii="Arial" w:hAnsi="Arial" w:cs="Arial"/>
          <w:noProof/>
          <w:lang w:val="sr-Latn-CS"/>
        </w:rPr>
        <w:t>list CG“ br. 16/18</w:t>
      </w:r>
      <w:r w:rsidR="00D021C0" w:rsidRPr="00AE5C99">
        <w:rPr>
          <w:rFonts w:ascii="Arial" w:hAnsi="Arial" w:cs="Arial"/>
          <w:noProof/>
          <w:lang w:val="sr-Latn-CS"/>
        </w:rPr>
        <w:t xml:space="preserve"> i 83/18</w:t>
      </w:r>
      <w:r w:rsidRPr="00AE5C99">
        <w:rPr>
          <w:rFonts w:ascii="Arial" w:hAnsi="Arial" w:cs="Arial"/>
          <w:noProof/>
          <w:lang w:val="sr-Latn-CS"/>
        </w:rPr>
        <w:t>), (u daljem tekstu: Zavod) je pripremila Nacrt Koncesionog akta za lokalite</w:t>
      </w:r>
      <w:r w:rsidR="004C0BB8" w:rsidRPr="00AE5C99">
        <w:rPr>
          <w:rFonts w:ascii="Arial" w:hAnsi="Arial" w:cs="Arial"/>
          <w:noProof/>
          <w:lang w:val="sr-Latn-CS"/>
        </w:rPr>
        <w:t xml:space="preserve">t tehničko-građevinskog kamena </w:t>
      </w:r>
      <w:r w:rsidR="0021501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Pr="00AE5C99">
        <w:rPr>
          <w:rFonts w:ascii="Arial" w:hAnsi="Arial" w:cs="Arial"/>
          <w:noProof/>
          <w:lang w:val="sr-Latn-CS"/>
        </w:rPr>
        <w:t xml:space="preserve">, (u </w:t>
      </w:r>
      <w:r w:rsidR="00D021C0" w:rsidRPr="00AE5C99">
        <w:rPr>
          <w:rFonts w:ascii="Arial" w:hAnsi="Arial" w:cs="Arial"/>
          <w:noProof/>
          <w:lang w:val="sr-Latn-CS"/>
        </w:rPr>
        <w:t>daljem tekstu: Koncesioni akt).</w:t>
      </w:r>
    </w:p>
    <w:p w:rsidR="00D021C0" w:rsidRPr="00AE5C99" w:rsidRDefault="00D021C0" w:rsidP="00AE5C99">
      <w:pPr>
        <w:spacing w:after="0" w:line="240" w:lineRule="auto"/>
        <w:jc w:val="both"/>
        <w:rPr>
          <w:rFonts w:ascii="Arial" w:hAnsi="Arial" w:cs="Arial"/>
          <w:noProof/>
          <w:lang w:val="sr-Latn-CS"/>
        </w:rPr>
      </w:pPr>
    </w:p>
    <w:p w:rsidR="00D17158" w:rsidRPr="00AE5C99" w:rsidRDefault="00D17158" w:rsidP="00AE5C99">
      <w:pPr>
        <w:spacing w:after="0" w:line="240" w:lineRule="auto"/>
        <w:jc w:val="both"/>
        <w:rPr>
          <w:rFonts w:ascii="Arial" w:hAnsi="Arial" w:cs="Arial"/>
          <w:noProof/>
          <w:lang w:val="sr-Latn-CS"/>
        </w:rPr>
      </w:pPr>
      <w:r w:rsidRPr="00AE5C99">
        <w:rPr>
          <w:rFonts w:ascii="Arial" w:hAnsi="Arial" w:cs="Arial"/>
          <w:noProof/>
          <w:lang w:val="sr-Latn-CS"/>
        </w:rPr>
        <w:t xml:space="preserve">Cilj izrade Koncesionog akta je pokretanje postupka javnog nadmetanja za izbor najpovoljnije ponude za dodjelu Ugovora o koncesiji za </w:t>
      </w:r>
      <w:r w:rsidR="005C75B7" w:rsidRPr="00AE5C99">
        <w:rPr>
          <w:rFonts w:ascii="Arial" w:hAnsi="Arial" w:cs="Arial"/>
          <w:noProof/>
          <w:lang w:val="sr-Latn-CS"/>
        </w:rPr>
        <w:t xml:space="preserve">detaljna geološka istraživanja i </w:t>
      </w:r>
      <w:r w:rsidRPr="00AE5C99">
        <w:rPr>
          <w:rFonts w:ascii="Arial" w:hAnsi="Arial" w:cs="Arial"/>
          <w:noProof/>
          <w:lang w:val="sr-Latn-CS"/>
        </w:rPr>
        <w:t>eksploataciju tehničko-gra</w:t>
      </w:r>
      <w:r w:rsidR="004C0BB8" w:rsidRPr="00AE5C99">
        <w:rPr>
          <w:rFonts w:ascii="Arial" w:hAnsi="Arial" w:cs="Arial"/>
          <w:noProof/>
          <w:lang w:val="sr-Latn-CS"/>
        </w:rPr>
        <w:t xml:space="preserve">đevinskog kamena na lokalitetu </w:t>
      </w:r>
      <w:r w:rsidR="0021501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D17158" w:rsidRPr="00AE5C99" w:rsidRDefault="00D17158" w:rsidP="00AE5C99">
      <w:pPr>
        <w:spacing w:after="0" w:line="240" w:lineRule="auto"/>
        <w:jc w:val="both"/>
        <w:rPr>
          <w:rFonts w:ascii="Arial" w:hAnsi="Arial" w:cs="Arial"/>
          <w:noProof/>
          <w:lang w:val="sr-Latn-CS"/>
        </w:rPr>
      </w:pPr>
      <w:r w:rsidRPr="00AE5C99">
        <w:rPr>
          <w:rFonts w:ascii="Arial" w:hAnsi="Arial" w:cs="Arial"/>
          <w:noProof/>
          <w:lang w:val="sr-Latn-CS"/>
        </w:rPr>
        <w:t>Izrada Koncesionog akta izvršena je na osnovu inicijative za pokretanje postupka za dodjelu koncesije za</w:t>
      </w:r>
      <w:r w:rsidR="005C75B7" w:rsidRPr="00AE5C99">
        <w:rPr>
          <w:rFonts w:ascii="Arial" w:hAnsi="Arial" w:cs="Arial"/>
          <w:noProof/>
          <w:lang w:val="sr-Latn-CS"/>
        </w:rPr>
        <w:t xml:space="preserve"> detaljna geološka istraživanja i</w:t>
      </w:r>
      <w:r w:rsidRPr="00AE5C99">
        <w:rPr>
          <w:rFonts w:ascii="Arial" w:hAnsi="Arial" w:cs="Arial"/>
          <w:noProof/>
          <w:lang w:val="sr-Latn-CS"/>
        </w:rPr>
        <w:t xml:space="preserve"> eksploataciju mineralne sirovine tehničko-gra</w:t>
      </w:r>
      <w:r w:rsidR="004C0BB8" w:rsidRPr="00AE5C99">
        <w:rPr>
          <w:rFonts w:ascii="Arial" w:hAnsi="Arial" w:cs="Arial"/>
          <w:noProof/>
          <w:lang w:val="sr-Latn-CS"/>
        </w:rPr>
        <w:t xml:space="preserve">đevinskog kamena na lokalitetu </w:t>
      </w:r>
      <w:r w:rsidR="0021501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004C0BB8" w:rsidRPr="00AE5C99">
        <w:rPr>
          <w:rFonts w:ascii="Arial" w:hAnsi="Arial" w:cs="Arial"/>
          <w:noProof/>
          <w:lang w:val="sr-Latn-CS"/>
        </w:rPr>
        <w:t>, od strane privrednog društva „</w:t>
      </w:r>
      <w:r w:rsidR="00215017" w:rsidRPr="00AE5C99">
        <w:rPr>
          <w:rFonts w:ascii="Arial" w:hAnsi="Arial" w:cs="Arial"/>
          <w:noProof/>
          <w:lang w:val="sr-Latn-CS"/>
        </w:rPr>
        <w:t>Euromixbeton</w:t>
      </w:r>
      <w:r w:rsidRPr="00AE5C99">
        <w:rPr>
          <w:rFonts w:ascii="Arial" w:hAnsi="Arial" w:cs="Arial"/>
          <w:noProof/>
          <w:lang w:val="sr-Latn-CS"/>
        </w:rPr>
        <w:t xml:space="preserve">“ d.o.o. </w:t>
      </w:r>
      <w:r w:rsidR="00215017" w:rsidRPr="00AE5C99">
        <w:rPr>
          <w:rFonts w:ascii="Arial" w:hAnsi="Arial" w:cs="Arial"/>
          <w:noProof/>
          <w:lang w:val="sr-Latn-CS"/>
        </w:rPr>
        <w:t>Bar</w:t>
      </w:r>
      <w:r w:rsidRPr="00AE5C99">
        <w:rPr>
          <w:rFonts w:ascii="Arial" w:hAnsi="Arial" w:cs="Arial"/>
          <w:noProof/>
          <w:lang w:val="sr-Latn-CS"/>
        </w:rPr>
        <w:t>, koja je zavedena u arhivi JU Zavod za geološka istraživanja Podgorica, broj: 05-1443/1 odnosno UP-05-145/1 od 05.12.2018. godine, u skladu sa članom 41, stav 3 Zakona o koncesijama („Sl.</w:t>
      </w:r>
      <w:r w:rsidR="004C0BB8" w:rsidRPr="00AE5C99">
        <w:rPr>
          <w:rFonts w:ascii="Arial" w:hAnsi="Arial" w:cs="Arial"/>
          <w:noProof/>
          <w:lang w:val="sr-Latn-CS"/>
        </w:rPr>
        <w:t xml:space="preserve"> </w:t>
      </w:r>
      <w:r w:rsidR="00D021C0" w:rsidRPr="00AE5C99">
        <w:rPr>
          <w:rFonts w:ascii="Arial" w:hAnsi="Arial" w:cs="Arial"/>
          <w:noProof/>
          <w:lang w:val="sr-Latn-CS"/>
        </w:rPr>
        <w:t xml:space="preserve">list CG“ br. </w:t>
      </w:r>
      <w:r w:rsidRPr="00AE5C99">
        <w:rPr>
          <w:rFonts w:ascii="Arial" w:hAnsi="Arial" w:cs="Arial"/>
          <w:noProof/>
          <w:lang w:val="sr-Latn-CS"/>
        </w:rPr>
        <w:t>8/09). Ocjena inicijative i izrada nacrta Koncesionog akta urađena je u JU Zavod za geološka istraživanja u skladu sa odredbama Uredbe o povjeravanju dijela poslova iz nadležnosti Ministarstva ekonomije JU Zavod za ge</w:t>
      </w:r>
      <w:r w:rsidR="006C468D" w:rsidRPr="00AE5C99">
        <w:rPr>
          <w:rFonts w:ascii="Arial" w:hAnsi="Arial" w:cs="Arial"/>
          <w:noProof/>
          <w:lang w:val="sr-Latn-CS"/>
        </w:rPr>
        <w:t>ološka istraživanja – Podgorica</w:t>
      </w:r>
      <w:r w:rsidRPr="00AE5C99">
        <w:rPr>
          <w:rFonts w:ascii="Arial" w:hAnsi="Arial" w:cs="Arial"/>
          <w:noProof/>
          <w:lang w:val="sr-Latn-CS"/>
        </w:rPr>
        <w:t xml:space="preserve"> („Sl.</w:t>
      </w:r>
      <w:r w:rsidR="004C0BB8" w:rsidRPr="00AE5C99">
        <w:rPr>
          <w:rFonts w:ascii="Arial" w:hAnsi="Arial" w:cs="Arial"/>
          <w:noProof/>
          <w:lang w:val="sr-Latn-CS"/>
        </w:rPr>
        <w:t xml:space="preserve"> </w:t>
      </w:r>
      <w:r w:rsidRPr="00AE5C99">
        <w:rPr>
          <w:rFonts w:ascii="Arial" w:hAnsi="Arial" w:cs="Arial"/>
          <w:noProof/>
          <w:lang w:val="sr-Latn-CS"/>
        </w:rPr>
        <w:t>list CG“ br. 16/18</w:t>
      </w:r>
      <w:r w:rsidR="00D021C0" w:rsidRPr="00AE5C99">
        <w:rPr>
          <w:rFonts w:ascii="Arial" w:hAnsi="Arial" w:cs="Arial"/>
          <w:noProof/>
          <w:lang w:val="sr-Latn-CS"/>
        </w:rPr>
        <w:t xml:space="preserve"> i 83/18</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F0778D" w:rsidRPr="00AE5C99" w:rsidRDefault="00F0778D" w:rsidP="00AE5C99">
      <w:pPr>
        <w:spacing w:after="0" w:line="240" w:lineRule="auto"/>
        <w:jc w:val="both"/>
        <w:rPr>
          <w:rFonts w:ascii="Arial" w:hAnsi="Arial" w:cs="Arial"/>
          <w:noProof/>
          <w:lang w:val="sr-Latn-CS"/>
        </w:rPr>
      </w:pPr>
      <w:r w:rsidRPr="00AE5C99">
        <w:rPr>
          <w:rFonts w:ascii="Arial" w:hAnsi="Arial" w:cs="Arial"/>
          <w:noProof/>
          <w:lang w:val="sr-Latn-CS"/>
        </w:rPr>
        <w:t>U skladu sa članom</w:t>
      </w:r>
      <w:r w:rsidR="00682440" w:rsidRPr="00AE5C99">
        <w:rPr>
          <w:rFonts w:ascii="Arial" w:hAnsi="Arial" w:cs="Arial"/>
          <w:noProof/>
          <w:lang w:val="sr-Latn-CS"/>
        </w:rPr>
        <w:t xml:space="preserve"> 1</w:t>
      </w:r>
      <w:r w:rsidRPr="00AE5C99">
        <w:rPr>
          <w:rFonts w:ascii="Arial" w:hAnsi="Arial" w:cs="Arial"/>
          <w:noProof/>
          <w:lang w:val="sr-Latn-CS"/>
        </w:rPr>
        <w:t>8 stav 3 Zakona o koncesijama, prije upućivanja Koncesionog akta Vladi na usvajanje, Ministarstvo organizuje i sprovodi javnu raspravu u roku od 15 do 30 dana od dana upućivanja javnog poziva za javnu raspravu.</w:t>
      </w:r>
    </w:p>
    <w:p w:rsidR="00D021C0" w:rsidRPr="00AE5C99" w:rsidRDefault="00D021C0" w:rsidP="00AE5C99">
      <w:pPr>
        <w:spacing w:after="0" w:line="240" w:lineRule="auto"/>
        <w:jc w:val="both"/>
        <w:rPr>
          <w:rFonts w:ascii="Arial" w:hAnsi="Arial" w:cs="Arial"/>
          <w:noProof/>
          <w:lang w:val="sr-Latn-CS"/>
        </w:rPr>
      </w:pPr>
    </w:p>
    <w:p w:rsidR="00F0778D" w:rsidRPr="00AE5C99" w:rsidRDefault="00F0778D" w:rsidP="00AE5C99">
      <w:pPr>
        <w:spacing w:after="0" w:line="240" w:lineRule="auto"/>
        <w:jc w:val="both"/>
        <w:rPr>
          <w:rFonts w:ascii="Arial" w:hAnsi="Arial" w:cs="Arial"/>
          <w:noProof/>
          <w:lang w:val="sr-Latn-CS"/>
        </w:rPr>
      </w:pPr>
      <w:r w:rsidRPr="00AE5C99">
        <w:rPr>
          <w:rFonts w:ascii="Arial" w:hAnsi="Arial" w:cs="Arial"/>
          <w:noProof/>
          <w:lang w:val="sr-Latn-CS"/>
        </w:rPr>
        <w:t xml:space="preserve">Poslije sprovedene javne rasprave, Ministarstvo dostavlja Vladi, u skladu sa članom </w:t>
      </w:r>
      <w:r w:rsidR="006552C1">
        <w:rPr>
          <w:rFonts w:ascii="Arial" w:hAnsi="Arial" w:cs="Arial"/>
          <w:noProof/>
          <w:lang w:val="sr-Latn-CS"/>
        </w:rPr>
        <w:t>1</w:t>
      </w:r>
      <w:r w:rsidRPr="00AE5C99">
        <w:rPr>
          <w:rFonts w:ascii="Arial" w:hAnsi="Arial" w:cs="Arial"/>
          <w:noProof/>
          <w:lang w:val="sr-Latn-CS"/>
        </w:rPr>
        <w:t xml:space="preserve">8 stav </w:t>
      </w:r>
      <w:r w:rsidR="006552C1">
        <w:rPr>
          <w:rFonts w:ascii="Arial" w:hAnsi="Arial" w:cs="Arial"/>
          <w:noProof/>
          <w:lang w:val="sr-Latn-CS"/>
        </w:rPr>
        <w:t>1</w:t>
      </w:r>
      <w:r w:rsidRPr="00AE5C99">
        <w:rPr>
          <w:rFonts w:ascii="Arial" w:hAnsi="Arial" w:cs="Arial"/>
          <w:noProof/>
          <w:lang w:val="sr-Latn-CS"/>
        </w:rPr>
        <w:t xml:space="preserve"> Zakona o koncesijama, Koncesioni akt sa Izvještajem sa javne rasprave na usvajanje.</w:t>
      </w:r>
    </w:p>
    <w:p w:rsidR="00CE396D" w:rsidRPr="00AE5C99" w:rsidRDefault="00CE396D" w:rsidP="00AE5C99">
      <w:pPr>
        <w:spacing w:after="0" w:line="240" w:lineRule="auto"/>
        <w:jc w:val="both"/>
        <w:rPr>
          <w:rFonts w:ascii="Arial" w:hAnsi="Arial" w:cs="Arial"/>
          <w:noProof/>
          <w:lang w:val="sr-Latn-CS"/>
        </w:rPr>
      </w:pPr>
    </w:p>
    <w:p w:rsidR="00F0778D" w:rsidRPr="00AE5C99" w:rsidRDefault="00F0778D" w:rsidP="00AE5C99">
      <w:pPr>
        <w:spacing w:after="0" w:line="240" w:lineRule="auto"/>
        <w:jc w:val="both"/>
        <w:rPr>
          <w:rFonts w:ascii="Arial" w:hAnsi="Arial" w:cs="Arial"/>
          <w:noProof/>
          <w:lang w:val="sr-Latn-CS"/>
        </w:rPr>
      </w:pPr>
      <w:r w:rsidRPr="00AE5C99">
        <w:rPr>
          <w:rFonts w:ascii="Arial" w:hAnsi="Arial" w:cs="Arial"/>
          <w:noProof/>
          <w:lang w:val="sr-Latn-CS"/>
        </w:rPr>
        <w:t>Nakon usvajanja Koncesionog akta od strane Vlade, Ministarstvo objavljuje Javni</w:t>
      </w:r>
      <w:r w:rsidR="006256AA" w:rsidRPr="00AE5C99">
        <w:rPr>
          <w:rFonts w:ascii="Arial" w:hAnsi="Arial" w:cs="Arial"/>
          <w:noProof/>
          <w:lang w:val="sr-Latn-CS"/>
        </w:rPr>
        <w:t xml:space="preserve"> oglas za davanje koncesije za</w:t>
      </w:r>
      <w:r w:rsidR="005C75B7" w:rsidRPr="00AE5C99">
        <w:rPr>
          <w:rFonts w:ascii="Arial" w:hAnsi="Arial" w:cs="Arial"/>
          <w:noProof/>
          <w:lang w:val="sr-Latn-CS"/>
        </w:rPr>
        <w:t xml:space="preserve"> detaljna geološka istraživanja i</w:t>
      </w:r>
      <w:r w:rsidR="006256AA" w:rsidRPr="00AE5C99">
        <w:rPr>
          <w:rFonts w:ascii="Arial" w:hAnsi="Arial" w:cs="Arial"/>
          <w:noProof/>
          <w:lang w:val="sr-Latn-CS"/>
        </w:rPr>
        <w:t xml:space="preserve"> </w:t>
      </w:r>
      <w:r w:rsidR="00670FB8" w:rsidRPr="00AE5C99">
        <w:rPr>
          <w:rFonts w:ascii="Arial" w:hAnsi="Arial" w:cs="Arial"/>
          <w:noProof/>
          <w:lang w:val="sr-Latn-CS"/>
        </w:rPr>
        <w:t>e</w:t>
      </w:r>
      <w:r w:rsidRPr="00AE5C99">
        <w:rPr>
          <w:rFonts w:ascii="Arial" w:hAnsi="Arial" w:cs="Arial"/>
          <w:noProof/>
          <w:lang w:val="sr-Latn-CS"/>
        </w:rPr>
        <w:t>ksploataciju mineralne sirovine tehničko-građevinskog kamena</w:t>
      </w:r>
      <w:r w:rsidR="00926A63" w:rsidRPr="00AE5C99">
        <w:rPr>
          <w:rFonts w:ascii="Arial" w:hAnsi="Arial" w:cs="Arial"/>
          <w:noProof/>
          <w:lang w:val="sr-Latn-CS"/>
        </w:rPr>
        <w:t xml:space="preserve"> ležišta</w:t>
      </w:r>
      <w:r w:rsidRPr="00AE5C99">
        <w:rPr>
          <w:rFonts w:ascii="Arial" w:hAnsi="Arial" w:cs="Arial"/>
          <w:noProof/>
          <w:lang w:val="sr-Latn-CS"/>
        </w:rPr>
        <w:t xml:space="preserve"> </w:t>
      </w:r>
      <w:r w:rsidR="006256AA"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F0778D" w:rsidRPr="00AE5C99" w:rsidRDefault="00F0778D" w:rsidP="00AE5C99">
      <w:pPr>
        <w:spacing w:after="0" w:line="240" w:lineRule="auto"/>
        <w:jc w:val="both"/>
        <w:rPr>
          <w:rFonts w:ascii="Arial" w:hAnsi="Arial" w:cs="Arial"/>
          <w:noProof/>
          <w:lang w:val="sr-Latn-CS" w:eastAsia="sl-SI"/>
        </w:rPr>
      </w:pPr>
      <w:r w:rsidRPr="00AE5C99">
        <w:rPr>
          <w:rFonts w:ascii="Arial" w:hAnsi="Arial" w:cs="Arial"/>
          <w:noProof/>
          <w:lang w:val="sr-Latn-CS" w:eastAsia="sl-SI"/>
        </w:rPr>
        <w:t xml:space="preserve">Koncesija za </w:t>
      </w:r>
      <w:r w:rsidR="005C75B7" w:rsidRPr="00AE5C99">
        <w:rPr>
          <w:rFonts w:ascii="Arial" w:hAnsi="Arial" w:cs="Arial"/>
          <w:noProof/>
          <w:lang w:val="sr-Latn-CS" w:eastAsia="sl-SI"/>
        </w:rPr>
        <w:t>detaljna geološka istraživanja i</w:t>
      </w:r>
      <w:r w:rsidRPr="00AE5C99">
        <w:rPr>
          <w:rFonts w:ascii="Arial" w:hAnsi="Arial" w:cs="Arial"/>
          <w:noProof/>
          <w:lang w:val="sr-Latn-CS" w:eastAsia="sl-SI"/>
        </w:rPr>
        <w:t xml:space="preserve"> </w:t>
      </w:r>
      <w:r w:rsidRPr="00AE5C99">
        <w:rPr>
          <w:rFonts w:ascii="Arial" w:hAnsi="Arial" w:cs="Arial"/>
          <w:noProof/>
          <w:lang w:val="sr-Latn-CS"/>
        </w:rPr>
        <w:t>eksploataciju tehničko-građevinskog kamena</w:t>
      </w:r>
      <w:r w:rsidR="007F4C71" w:rsidRPr="00AE5C99">
        <w:rPr>
          <w:rFonts w:ascii="Arial" w:hAnsi="Arial" w:cs="Arial"/>
          <w:noProof/>
          <w:lang w:val="sr-Latn-CS"/>
        </w:rPr>
        <w:t xml:space="preserve"> ležišta</w:t>
      </w:r>
      <w:r w:rsidRPr="00AE5C99">
        <w:rPr>
          <w:rFonts w:ascii="Arial" w:hAnsi="Arial" w:cs="Arial"/>
          <w:noProof/>
          <w:lang w:val="sr-Latn-CS"/>
        </w:rPr>
        <w:t xml:space="preserve"> </w:t>
      </w:r>
      <w:r w:rsidR="005C75B7"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Pr="00AE5C99">
        <w:rPr>
          <w:rFonts w:ascii="Arial" w:hAnsi="Arial" w:cs="Arial"/>
          <w:noProof/>
          <w:lang w:val="sr-Latn-CS"/>
        </w:rPr>
        <w:t>, daje</w:t>
      </w:r>
      <w:r w:rsidRPr="00AE5C99">
        <w:rPr>
          <w:rFonts w:ascii="Arial" w:hAnsi="Arial" w:cs="Arial"/>
          <w:noProof/>
          <w:lang w:val="sr-Latn-CS" w:eastAsia="sl-SI"/>
        </w:rPr>
        <w:t xml:space="preserve"> </w:t>
      </w:r>
      <w:r w:rsidR="007F4C71" w:rsidRPr="00AE5C99">
        <w:rPr>
          <w:rFonts w:ascii="Arial" w:hAnsi="Arial" w:cs="Arial"/>
          <w:noProof/>
          <w:lang w:val="sr-Latn-CS"/>
        </w:rPr>
        <w:t>se</w:t>
      </w:r>
      <w:r w:rsidR="007F4C71" w:rsidRPr="00AE5C99">
        <w:rPr>
          <w:rFonts w:ascii="Arial" w:hAnsi="Arial" w:cs="Arial"/>
          <w:noProof/>
          <w:lang w:val="sr-Latn-CS" w:eastAsia="sl-SI"/>
        </w:rPr>
        <w:t xml:space="preserve"> </w:t>
      </w:r>
      <w:r w:rsidRPr="00AE5C99">
        <w:rPr>
          <w:rFonts w:ascii="Arial" w:hAnsi="Arial" w:cs="Arial"/>
          <w:noProof/>
          <w:lang w:val="sr-Latn-CS" w:eastAsia="sl-SI"/>
        </w:rPr>
        <w:t>putem javnog nadmetanja u otvorenom postupku, na način propisan Zakonom o koncesijama.</w:t>
      </w:r>
    </w:p>
    <w:p w:rsidR="00D021C0" w:rsidRPr="00AE5C99" w:rsidRDefault="00D021C0" w:rsidP="00AE5C99">
      <w:pPr>
        <w:spacing w:after="0" w:line="240" w:lineRule="auto"/>
        <w:jc w:val="both"/>
        <w:rPr>
          <w:rFonts w:ascii="Arial" w:hAnsi="Arial" w:cs="Arial"/>
          <w:noProof/>
          <w:lang w:val="sr-Latn-CS" w:eastAsia="sl-SI"/>
        </w:rPr>
      </w:pPr>
    </w:p>
    <w:p w:rsidR="00D021C0" w:rsidRPr="00AE5C99" w:rsidRDefault="006A54FE" w:rsidP="006A54FE">
      <w:pPr>
        <w:spacing w:line="240" w:lineRule="auto"/>
        <w:jc w:val="both"/>
        <w:rPr>
          <w:rFonts w:ascii="Arial" w:eastAsia="Arial Unicode MS" w:hAnsi="Arial" w:cs="Arial"/>
          <w:b/>
          <w:bCs/>
          <w:noProof/>
          <w:kern w:val="32"/>
          <w:lang w:val="sr-Latn-CS"/>
        </w:rPr>
      </w:pPr>
      <w:r>
        <w:rPr>
          <w:rFonts w:ascii="Arial" w:hAnsi="Arial" w:cs="Arial"/>
          <w:lang w:val="sr-Latn-CS" w:eastAsia="sl-SI"/>
        </w:rPr>
        <w:t>Ponuđač dostavlja ponudu na osnovu Javnog oglasa za davanje koncesije. Rok za dostavljanje ponuda ne može biti kraći od 30 dana od dana objavljivanja Javnog oglasa u ’’Službenom listu Crne Gore’’</w:t>
      </w:r>
      <w:r w:rsidR="00B84B59">
        <w:rPr>
          <w:rFonts w:ascii="Arial" w:hAnsi="Arial" w:cs="Arial"/>
          <w:lang w:val="sr-Latn-CS" w:eastAsia="sl-SI"/>
        </w:rPr>
        <w:t>.</w:t>
      </w:r>
      <w:r w:rsidR="00D021C0" w:rsidRPr="00AE5C99">
        <w:rPr>
          <w:rFonts w:ascii="Arial" w:hAnsi="Arial" w:cs="Arial"/>
          <w:noProof/>
          <w:lang w:val="sr-Latn-CS"/>
        </w:rPr>
        <w:br w:type="page"/>
      </w:r>
    </w:p>
    <w:p w:rsidR="00AE5C5A" w:rsidRPr="00AE5C99" w:rsidRDefault="006A68F3" w:rsidP="00AE5C99">
      <w:pPr>
        <w:pStyle w:val="Heading1"/>
        <w:numPr>
          <w:ilvl w:val="0"/>
          <w:numId w:val="18"/>
        </w:numPr>
        <w:ind w:left="360"/>
        <w:rPr>
          <w:noProof/>
          <w:lang w:val="sr-Latn-CS"/>
        </w:rPr>
      </w:pPr>
      <w:bookmarkStart w:id="1" w:name="_Toc4581256"/>
      <w:r w:rsidRPr="00AE5C99">
        <w:rPr>
          <w:noProof/>
          <w:lang w:val="sr-Latn-CS"/>
        </w:rPr>
        <w:lastRenderedPageBreak/>
        <w:t xml:space="preserve">TEHNIČKI IZVJEŠTAJ O </w:t>
      </w:r>
      <w:r w:rsidR="0073163D" w:rsidRPr="00AE5C99">
        <w:rPr>
          <w:noProof/>
          <w:lang w:val="sr-Latn-CS"/>
        </w:rPr>
        <w:t>LEŽIŠTU</w:t>
      </w:r>
      <w:r w:rsidRPr="00AE5C99">
        <w:rPr>
          <w:noProof/>
          <w:lang w:val="sr-Latn-CS"/>
        </w:rPr>
        <w:t xml:space="preserve"> TEHNIČKO-GRAĐEVINSKOG KAMENA</w:t>
      </w:r>
    </w:p>
    <w:p w:rsidR="002E4676" w:rsidRPr="00AE5C99" w:rsidRDefault="006A68F3" w:rsidP="00AE5C99">
      <w:pPr>
        <w:pStyle w:val="Heading1"/>
        <w:ind w:left="360" w:firstLine="0"/>
        <w:rPr>
          <w:noProof/>
          <w:lang w:val="sr-Latn-CS"/>
        </w:rPr>
      </w:pPr>
      <w:r w:rsidRPr="00AE5C99">
        <w:rPr>
          <w:noProof/>
          <w:lang w:val="sr-Latn-CS"/>
        </w:rPr>
        <w:t xml:space="preserve"> </w:t>
      </w:r>
      <w:r w:rsidR="006256AA" w:rsidRPr="00AE5C99">
        <w:rPr>
          <w:noProof/>
          <w:lang w:val="sr-Latn-CS"/>
        </w:rPr>
        <w:t>„</w:t>
      </w:r>
      <w:r w:rsidR="001D297B" w:rsidRPr="00AE5C99">
        <w:rPr>
          <w:noProof/>
          <w:lang w:val="sr-Latn-CS"/>
        </w:rPr>
        <w:t>VELJI ZABIO”</w:t>
      </w:r>
      <w:bookmarkEnd w:id="1"/>
    </w:p>
    <w:p w:rsidR="00A700A0" w:rsidRPr="00AE5C99" w:rsidRDefault="00A700A0" w:rsidP="00AE5C99">
      <w:pPr>
        <w:spacing w:after="0" w:line="240" w:lineRule="auto"/>
        <w:rPr>
          <w:rFonts w:ascii="Arial" w:hAnsi="Arial" w:cs="Arial"/>
          <w:noProof/>
          <w:lang w:val="sr-Latn-CS"/>
        </w:rPr>
      </w:pPr>
    </w:p>
    <w:p w:rsidR="002E4676" w:rsidRPr="00AE5C99" w:rsidRDefault="002E4676" w:rsidP="00AE5C99">
      <w:pPr>
        <w:pStyle w:val="Heading2"/>
        <w:numPr>
          <w:ilvl w:val="1"/>
          <w:numId w:val="18"/>
        </w:numPr>
        <w:spacing w:before="0" w:after="0" w:line="240" w:lineRule="auto"/>
        <w:rPr>
          <w:b/>
          <w:noProof/>
          <w:lang w:val="sr-Latn-CS"/>
        </w:rPr>
      </w:pPr>
      <w:r w:rsidRPr="00AE5C99">
        <w:rPr>
          <w:b/>
          <w:noProof/>
          <w:lang w:val="sr-Latn-CS"/>
        </w:rPr>
        <w:t>Predmet koncesije</w:t>
      </w:r>
    </w:p>
    <w:p w:rsidR="00D021C0" w:rsidRPr="00AE5C99" w:rsidRDefault="00D021C0" w:rsidP="00AE5C99">
      <w:pPr>
        <w:spacing w:after="0" w:line="240" w:lineRule="auto"/>
        <w:jc w:val="both"/>
        <w:rPr>
          <w:rFonts w:ascii="Arial" w:hAnsi="Arial" w:cs="Arial"/>
          <w:noProof/>
          <w:lang w:val="sr-Latn-CS"/>
        </w:rPr>
      </w:pPr>
    </w:p>
    <w:p w:rsidR="002E4676" w:rsidRPr="00AE5C99" w:rsidRDefault="002E4676" w:rsidP="00AE5C99">
      <w:pPr>
        <w:spacing w:after="0" w:line="240" w:lineRule="auto"/>
        <w:jc w:val="both"/>
        <w:rPr>
          <w:rFonts w:ascii="Arial" w:hAnsi="Arial" w:cs="Arial"/>
          <w:noProof/>
          <w:lang w:val="sr-Latn-CS"/>
        </w:rPr>
      </w:pPr>
      <w:r w:rsidRPr="00AE5C99">
        <w:rPr>
          <w:rFonts w:ascii="Arial" w:hAnsi="Arial" w:cs="Arial"/>
          <w:noProof/>
          <w:lang w:val="sr-Latn-CS"/>
        </w:rPr>
        <w:t xml:space="preserve">Predmet ovog Koncesionog akta je </w:t>
      </w:r>
      <w:r w:rsidR="001D297B" w:rsidRPr="00AE5C99">
        <w:rPr>
          <w:rFonts w:ascii="Arial" w:hAnsi="Arial" w:cs="Arial"/>
          <w:noProof/>
          <w:lang w:val="sr-Latn-CS"/>
        </w:rPr>
        <w:t>ležište</w:t>
      </w:r>
      <w:r w:rsidRPr="00AE5C99">
        <w:rPr>
          <w:rFonts w:ascii="Arial" w:hAnsi="Arial" w:cs="Arial"/>
          <w:noProof/>
          <w:lang w:val="sr-Latn-CS"/>
        </w:rPr>
        <w:t xml:space="preserve"> mineralne sirovine</w:t>
      </w:r>
      <w:r w:rsidR="006E0FAB" w:rsidRPr="00AE5C99">
        <w:rPr>
          <w:rFonts w:ascii="Arial" w:hAnsi="Arial" w:cs="Arial"/>
          <w:noProof/>
          <w:lang w:val="sr-Latn-CS"/>
        </w:rPr>
        <w:t>,</w:t>
      </w:r>
      <w:r w:rsidRPr="00AE5C99">
        <w:rPr>
          <w:rFonts w:ascii="Arial" w:hAnsi="Arial" w:cs="Arial"/>
          <w:noProof/>
          <w:lang w:val="sr-Latn-CS"/>
        </w:rPr>
        <w:t xml:space="preserve"> tehničko-građevinskog kamena </w:t>
      </w:r>
      <w:r w:rsidR="006256AA" w:rsidRPr="00AE5C99">
        <w:rPr>
          <w:rFonts w:ascii="Arial" w:hAnsi="Arial" w:cs="Arial"/>
          <w:noProof/>
          <w:lang w:val="sr-Latn-CS"/>
        </w:rPr>
        <w:t>„</w:t>
      </w:r>
      <w:r w:rsidR="001D297B" w:rsidRPr="00AE5C99">
        <w:rPr>
          <w:rFonts w:ascii="Arial" w:hAnsi="Arial" w:cs="Arial"/>
          <w:noProof/>
          <w:lang w:val="sr-Latn-CS"/>
        </w:rPr>
        <w:t>Velji Zabio”</w:t>
      </w:r>
      <w:r w:rsidR="0073163D" w:rsidRPr="00AE5C99">
        <w:rPr>
          <w:rFonts w:ascii="Arial" w:hAnsi="Arial" w:cs="Arial"/>
          <w:noProof/>
          <w:lang w:val="sr-Latn-CS"/>
        </w:rPr>
        <w:t>, Opština Bar</w:t>
      </w:r>
      <w:r w:rsidR="0096448F" w:rsidRPr="00AE5C99">
        <w:rPr>
          <w:rFonts w:ascii="Arial" w:hAnsi="Arial" w:cs="Arial"/>
          <w:noProof/>
          <w:lang w:val="sr-Latn-CS"/>
        </w:rPr>
        <w:t>.</w:t>
      </w:r>
    </w:p>
    <w:p w:rsidR="006256AA" w:rsidRPr="00AE5C99" w:rsidRDefault="006256AA" w:rsidP="00AE5C99">
      <w:pPr>
        <w:spacing w:after="0" w:line="240" w:lineRule="auto"/>
        <w:jc w:val="both"/>
        <w:rPr>
          <w:rFonts w:ascii="Arial" w:hAnsi="Arial" w:cs="Arial"/>
          <w:noProof/>
          <w:lang w:val="sr-Latn-CS"/>
        </w:rPr>
      </w:pPr>
    </w:p>
    <w:p w:rsidR="002E4676" w:rsidRPr="00AE5C99" w:rsidRDefault="002E4676" w:rsidP="00AE5C99">
      <w:pPr>
        <w:pStyle w:val="Heading2"/>
        <w:numPr>
          <w:ilvl w:val="1"/>
          <w:numId w:val="18"/>
        </w:numPr>
        <w:spacing w:before="0" w:after="0" w:line="240" w:lineRule="auto"/>
        <w:rPr>
          <w:b/>
          <w:noProof/>
          <w:lang w:val="sr-Latn-CS"/>
        </w:rPr>
      </w:pPr>
      <w:r w:rsidRPr="00AE5C99">
        <w:rPr>
          <w:b/>
          <w:noProof/>
          <w:lang w:val="sr-Latn-CS"/>
        </w:rPr>
        <w:t xml:space="preserve">Položaj i opis </w:t>
      </w:r>
      <w:r w:rsidR="00DA601A" w:rsidRPr="00AE5C99">
        <w:rPr>
          <w:b/>
          <w:noProof/>
          <w:lang w:val="sr-Latn-CS"/>
        </w:rPr>
        <w:t>ležišta</w:t>
      </w:r>
      <w:r w:rsidR="0059672E" w:rsidRPr="00AE5C99">
        <w:rPr>
          <w:b/>
          <w:noProof/>
          <w:lang w:val="sr-Latn-CS"/>
        </w:rPr>
        <w:t xml:space="preserve"> tehničko-građevinskog kamena </w:t>
      </w:r>
      <w:r w:rsidR="006256AA" w:rsidRPr="00AE5C99">
        <w:rPr>
          <w:b/>
          <w:noProof/>
          <w:lang w:val="sr-Latn-CS"/>
        </w:rPr>
        <w:t>„</w:t>
      </w:r>
      <w:r w:rsidR="001D297B" w:rsidRPr="00AE5C99">
        <w:rPr>
          <w:b/>
          <w:noProof/>
          <w:lang w:val="sr-Latn-CS"/>
        </w:rPr>
        <w:t>Velji Zabio”</w:t>
      </w:r>
    </w:p>
    <w:p w:rsidR="00D021C0" w:rsidRPr="00AE5C99" w:rsidRDefault="00D021C0" w:rsidP="00AE5C99">
      <w:pPr>
        <w:spacing w:after="0" w:line="240" w:lineRule="auto"/>
        <w:jc w:val="both"/>
        <w:rPr>
          <w:rFonts w:ascii="Arial" w:hAnsi="Arial" w:cs="Arial"/>
          <w:noProof/>
          <w:lang w:val="sr-Latn-CS"/>
        </w:rPr>
      </w:pPr>
    </w:p>
    <w:p w:rsidR="00C639DB" w:rsidRPr="00AE5C99" w:rsidRDefault="00E01AFA" w:rsidP="00AE5C99">
      <w:pPr>
        <w:spacing w:after="0" w:line="240" w:lineRule="auto"/>
        <w:jc w:val="both"/>
        <w:rPr>
          <w:rFonts w:ascii="Arial" w:hAnsi="Arial" w:cs="Arial"/>
          <w:noProof/>
          <w:lang w:val="sr-Latn-CS"/>
        </w:rPr>
      </w:pPr>
      <w:r w:rsidRPr="00AE5C99">
        <w:rPr>
          <w:rFonts w:ascii="Arial" w:hAnsi="Arial" w:cs="Arial"/>
          <w:noProof/>
          <w:lang w:val="sr-Latn-CS"/>
        </w:rPr>
        <w:t>Ležište tehničko-</w:t>
      </w:r>
      <w:r w:rsidR="006256AA" w:rsidRPr="00AE5C99">
        <w:rPr>
          <w:rFonts w:ascii="Arial" w:hAnsi="Arial" w:cs="Arial"/>
          <w:noProof/>
          <w:lang w:val="sr-Latn-CS"/>
        </w:rPr>
        <w:t>građevinskog kamena „Velji Z</w:t>
      </w:r>
      <w:r w:rsidRPr="00AE5C99">
        <w:rPr>
          <w:rFonts w:ascii="Arial" w:hAnsi="Arial" w:cs="Arial"/>
          <w:noProof/>
          <w:lang w:val="sr-Latn-CS"/>
        </w:rPr>
        <w:t>abio“, se nalazi na brdu Volujica, na teritoriji koja administrativno pripada Opštini Bar. Udaljeno je 4 km jugoistočno od Bara i pripada topografskom listu „Bar“ 1:25 000, odnosno listu „Titograd“ 1:100 000.</w:t>
      </w:r>
      <w:r w:rsidR="00A4502A" w:rsidRPr="00AE5C99">
        <w:rPr>
          <w:rFonts w:ascii="Arial" w:hAnsi="Arial" w:cs="Arial"/>
          <w:noProof/>
          <w:lang w:val="sr-Latn-CS"/>
        </w:rPr>
        <w:t xml:space="preserve"> L</w:t>
      </w:r>
      <w:r w:rsidRPr="00AE5C99">
        <w:rPr>
          <w:rFonts w:ascii="Arial" w:hAnsi="Arial" w:cs="Arial"/>
          <w:noProof/>
          <w:lang w:val="sr-Latn-CS"/>
        </w:rPr>
        <w:t xml:space="preserve">okalnim </w:t>
      </w:r>
      <w:r w:rsidR="00A4502A" w:rsidRPr="00AE5C99">
        <w:rPr>
          <w:rFonts w:ascii="Arial" w:hAnsi="Arial" w:cs="Arial"/>
          <w:noProof/>
          <w:lang w:val="sr-Latn-CS"/>
        </w:rPr>
        <w:t xml:space="preserve">asfaltnim </w:t>
      </w:r>
      <w:r w:rsidRPr="00AE5C99">
        <w:rPr>
          <w:rFonts w:ascii="Arial" w:hAnsi="Arial" w:cs="Arial"/>
          <w:noProof/>
          <w:lang w:val="sr-Latn-CS"/>
        </w:rPr>
        <w:t xml:space="preserve">putem </w:t>
      </w:r>
      <w:r w:rsidR="00A4502A" w:rsidRPr="00AE5C99">
        <w:rPr>
          <w:rFonts w:ascii="Arial" w:hAnsi="Arial" w:cs="Arial"/>
          <w:noProof/>
          <w:lang w:val="sr-Latn-CS"/>
        </w:rPr>
        <w:t xml:space="preserve">ležište je </w:t>
      </w:r>
      <w:r w:rsidRPr="00AE5C99">
        <w:rPr>
          <w:rFonts w:ascii="Arial" w:hAnsi="Arial" w:cs="Arial"/>
          <w:noProof/>
          <w:lang w:val="sr-Latn-CS"/>
        </w:rPr>
        <w:t xml:space="preserve">povezano sa jadranskom magistralom odnosno </w:t>
      </w:r>
      <w:r w:rsidR="00C521CE" w:rsidRPr="00AE5C99">
        <w:rPr>
          <w:rFonts w:ascii="Arial" w:hAnsi="Arial" w:cs="Arial"/>
          <w:noProof/>
          <w:lang w:val="sr-Latn-CS"/>
        </w:rPr>
        <w:t>magistralnim putem Bar – Ulcinj. Ovim magistralnim putem ležište je je povezano</w:t>
      </w:r>
      <w:r w:rsidR="00A4502A" w:rsidRPr="00AE5C99">
        <w:rPr>
          <w:rFonts w:ascii="Arial" w:hAnsi="Arial" w:cs="Arial"/>
          <w:noProof/>
          <w:lang w:val="sr-Latn-CS"/>
        </w:rPr>
        <w:t xml:space="preserve"> i </w:t>
      </w:r>
      <w:r w:rsidRPr="00AE5C99">
        <w:rPr>
          <w:rFonts w:ascii="Arial" w:hAnsi="Arial" w:cs="Arial"/>
          <w:noProof/>
          <w:lang w:val="sr-Latn-CS"/>
        </w:rPr>
        <w:t>sa željezniškom stanicom i lukom Bar.</w:t>
      </w:r>
    </w:p>
    <w:p w:rsidR="006256AA" w:rsidRPr="00AE5C99" w:rsidRDefault="006256AA" w:rsidP="00AE5C99">
      <w:pPr>
        <w:spacing w:after="0" w:line="240" w:lineRule="auto"/>
        <w:jc w:val="both"/>
        <w:rPr>
          <w:rFonts w:ascii="Arial" w:hAnsi="Arial" w:cs="Arial"/>
          <w:noProof/>
          <w:lang w:val="sr-Latn-CS"/>
        </w:rPr>
      </w:pPr>
    </w:p>
    <w:p w:rsidR="005B38D3" w:rsidRPr="00AE5C99" w:rsidRDefault="005B38D3" w:rsidP="00AE5C99">
      <w:pPr>
        <w:spacing w:after="0" w:line="240" w:lineRule="auto"/>
        <w:jc w:val="both"/>
        <w:rPr>
          <w:rFonts w:ascii="Arial" w:hAnsi="Arial" w:cs="Arial"/>
          <w:lang w:val="sr-Latn-CS"/>
        </w:rPr>
      </w:pPr>
      <w:r w:rsidRPr="00AE5C99">
        <w:rPr>
          <w:rFonts w:ascii="Arial" w:hAnsi="Arial" w:cs="Arial"/>
          <w:lang w:val="pl-PL"/>
        </w:rPr>
        <w:t xml:space="preserve">Na osnovu zahtjeva JU Zavod za geološka istraživanja – Podgorica, u skladu sa Uredbom o povjeravanju dijela poslova iz nadležnosti Ministarstva ekonomije JU Zavod za geološka istraživanja („Sl.list CG“ br. 16/18 i 83/18), a za potrebe izrade koncesionog akta za ležište </w:t>
      </w:r>
      <w:r w:rsidRPr="00AE5C99">
        <w:rPr>
          <w:rFonts w:ascii="Arial" w:hAnsi="Arial" w:cs="Arial"/>
          <w:lang w:val="sr-Latn-CS"/>
        </w:rPr>
        <w:t xml:space="preserve">tehničko-građevinskog kamena </w:t>
      </w:r>
      <w:r w:rsidRPr="00AE5C99">
        <w:rPr>
          <w:rFonts w:ascii="Arial" w:hAnsi="Arial" w:cs="Arial"/>
          <w:noProof/>
          <w:lang w:val="sr-Latn-CS"/>
        </w:rPr>
        <w:t>„Velji Zabio“</w:t>
      </w:r>
      <w:r w:rsidRPr="00AE5C99">
        <w:rPr>
          <w:rFonts w:ascii="Arial" w:hAnsi="Arial" w:cs="Arial"/>
          <w:lang w:val="sr-Latn-CS"/>
        </w:rPr>
        <w:t>, Opština Bar</w:t>
      </w:r>
      <w:r w:rsidRPr="00AE5C99">
        <w:rPr>
          <w:rFonts w:ascii="Arial" w:hAnsi="Arial" w:cs="Arial"/>
          <w:lang w:val="pl-PL"/>
        </w:rPr>
        <w:t xml:space="preserve">, preduzeće za izvođenje geodetskih radova Etalon Geo Office doo Podgorica, koje je registrovano i licencirano za tu vrstu posla, je uradilo </w:t>
      </w:r>
      <w:r w:rsidR="003B2357" w:rsidRPr="00AE5C99">
        <w:rPr>
          <w:rFonts w:ascii="Arial" w:hAnsi="Arial" w:cs="Arial"/>
          <w:lang w:val="pl-PL"/>
        </w:rPr>
        <w:t>Tehnički izvještaj sa koordinatama graničnih tačaka istražno- eksploatacionog prostora</w:t>
      </w:r>
      <w:r w:rsidR="003B2357" w:rsidRPr="00AE5C99">
        <w:rPr>
          <w:rFonts w:ascii="Arial" w:hAnsi="Arial" w:cs="Arial"/>
          <w:noProof/>
          <w:lang w:val="sr-Latn-CS"/>
        </w:rPr>
        <w:t xml:space="preserve"> </w:t>
      </w:r>
      <w:r w:rsidRPr="00AE5C99">
        <w:rPr>
          <w:rFonts w:ascii="Arial" w:hAnsi="Arial" w:cs="Arial"/>
          <w:noProof/>
          <w:lang w:val="sr-Latn-CS"/>
        </w:rPr>
        <w:t>„Velji Zabio“</w:t>
      </w:r>
      <w:r w:rsidRPr="00AE5C99">
        <w:rPr>
          <w:rFonts w:ascii="Arial" w:hAnsi="Arial" w:cs="Arial"/>
          <w:lang w:val="pl-PL"/>
        </w:rPr>
        <w:t>.</w:t>
      </w:r>
    </w:p>
    <w:p w:rsidR="005B38D3" w:rsidRPr="00AE5C99" w:rsidRDefault="005B38D3" w:rsidP="00AE5C99">
      <w:pPr>
        <w:pStyle w:val="BodyText"/>
        <w:spacing w:after="0" w:line="240" w:lineRule="auto"/>
        <w:jc w:val="both"/>
        <w:rPr>
          <w:rFonts w:ascii="Arial" w:hAnsi="Arial" w:cs="Arial"/>
          <w:lang w:val="pl-PL"/>
        </w:rPr>
      </w:pP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Na planu KO Zaljevo razmjere 1:2</w:t>
      </w:r>
      <w:r w:rsidR="009428D6" w:rsidRPr="00AE5C99">
        <w:rPr>
          <w:rFonts w:ascii="Arial" w:hAnsi="Arial" w:cs="Arial"/>
          <w:lang w:val="pl-PL"/>
        </w:rPr>
        <w:t>5</w:t>
      </w:r>
      <w:r w:rsidRPr="00AE5C99">
        <w:rPr>
          <w:rFonts w:ascii="Arial" w:hAnsi="Arial" w:cs="Arial"/>
          <w:lang w:val="pl-PL"/>
        </w:rPr>
        <w:t>00, na zemljištu na kojem se nalazi ležište tehničko-građevinskog kame</w:t>
      </w:r>
      <w:r w:rsidR="007C3589">
        <w:rPr>
          <w:rFonts w:ascii="Arial" w:hAnsi="Arial" w:cs="Arial"/>
          <w:lang w:val="pl-PL"/>
        </w:rPr>
        <w:t>na „Velji Zabio“, definisan je istražno- eksploatacioni</w:t>
      </w:r>
      <w:r w:rsidRPr="00AE5C99">
        <w:rPr>
          <w:rFonts w:ascii="Arial" w:hAnsi="Arial" w:cs="Arial"/>
          <w:lang w:val="pl-PL"/>
        </w:rPr>
        <w:t xml:space="preserve"> prostor sa 112 graničnih tačaka sa utvrđenim koordinatama državnog koordinatnog sistema (DKS) i površinom koju zahvata područje (290 417,31m²).</w:t>
      </w:r>
    </w:p>
    <w:p w:rsidR="005B38D3" w:rsidRPr="00AE5C99" w:rsidRDefault="005B38D3" w:rsidP="00AE5C99">
      <w:pPr>
        <w:spacing w:after="0" w:line="240" w:lineRule="auto"/>
        <w:jc w:val="both"/>
        <w:rPr>
          <w:rFonts w:ascii="Arial" w:hAnsi="Arial" w:cs="Arial"/>
          <w:lang w:val="pl-PL"/>
        </w:rPr>
      </w:pP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Na priloženim skicama prikazano je:</w:t>
      </w:r>
    </w:p>
    <w:p w:rsidR="005B38D3" w:rsidRPr="00AE5C99" w:rsidRDefault="005B38D3" w:rsidP="00AE5C99">
      <w:pPr>
        <w:spacing w:after="0" w:line="240" w:lineRule="auto"/>
        <w:jc w:val="both"/>
        <w:rPr>
          <w:rFonts w:ascii="Arial" w:hAnsi="Arial" w:cs="Arial"/>
          <w:lang w:val="pl-PL"/>
        </w:rPr>
      </w:pP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1) Područje koncesije sa naznačenim vlasnicima u trenutku izrade,</w:t>
      </w: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2) Područje koncesije na topografskoj karti 1:25000.</w:t>
      </w: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3) Područje koncesije na katstrskom planu KO Zaljevo  sa koordinatama graničnih tačaka .</w:t>
      </w:r>
    </w:p>
    <w:p w:rsidR="003B2357" w:rsidRPr="00AE5C99" w:rsidRDefault="003B2357" w:rsidP="00AE5C99">
      <w:pPr>
        <w:spacing w:after="0" w:line="240" w:lineRule="auto"/>
        <w:jc w:val="both"/>
        <w:rPr>
          <w:rFonts w:ascii="Arial" w:hAnsi="Arial" w:cs="Arial"/>
          <w:lang w:val="pl-PL"/>
        </w:rPr>
      </w:pPr>
    </w:p>
    <w:p w:rsidR="003B2357" w:rsidRPr="00AE5C99" w:rsidRDefault="003B2357" w:rsidP="00AE5C99">
      <w:pPr>
        <w:pStyle w:val="BodyText"/>
        <w:spacing w:after="0" w:line="240" w:lineRule="auto"/>
        <w:jc w:val="both"/>
        <w:rPr>
          <w:rFonts w:ascii="Arial" w:eastAsia="Arial Unicode MS" w:hAnsi="Arial" w:cs="Arial"/>
          <w:lang w:val="hr-HR"/>
        </w:rPr>
      </w:pPr>
      <w:r w:rsidRPr="00AE5C99">
        <w:rPr>
          <w:rFonts w:ascii="Arial" w:hAnsi="Arial" w:cs="Arial"/>
          <w:lang w:val="hr-HR"/>
        </w:rPr>
        <w:t>Područje se nalazi na području katastarske opštine Zaljevo i obuhvata</w:t>
      </w:r>
      <w:r w:rsidR="00FF2A1D" w:rsidRPr="00AE5C99">
        <w:rPr>
          <w:rFonts w:ascii="Arial" w:hAnsi="Arial" w:cs="Arial"/>
          <w:lang w:val="hr-HR"/>
        </w:rPr>
        <w:t xml:space="preserve"> katatarsku parcelu</w:t>
      </w:r>
      <w:r w:rsidRPr="00AE5C99">
        <w:rPr>
          <w:rFonts w:ascii="Arial" w:hAnsi="Arial" w:cs="Arial"/>
          <w:lang w:val="hr-HR"/>
        </w:rPr>
        <w:t>:</w:t>
      </w:r>
    </w:p>
    <w:p w:rsidR="003B2357" w:rsidRPr="00AE5C99" w:rsidRDefault="003B2357" w:rsidP="00AE5C99">
      <w:pPr>
        <w:pStyle w:val="BodyText"/>
        <w:numPr>
          <w:ilvl w:val="0"/>
          <w:numId w:val="27"/>
        </w:numPr>
        <w:spacing w:after="0" w:line="240" w:lineRule="auto"/>
        <w:jc w:val="both"/>
        <w:rPr>
          <w:rFonts w:ascii="Arial" w:hAnsi="Arial" w:cs="Arial"/>
          <w:lang w:val="hr-HR"/>
        </w:rPr>
      </w:pPr>
      <w:r w:rsidRPr="00AE5C99">
        <w:rPr>
          <w:rFonts w:ascii="Arial" w:hAnsi="Arial" w:cs="Arial"/>
          <w:lang w:val="hr-HR"/>
        </w:rPr>
        <w:t xml:space="preserve">KP </w:t>
      </w:r>
      <w:r w:rsidR="0052047E" w:rsidRPr="00AE5C99">
        <w:rPr>
          <w:rFonts w:ascii="Arial" w:hAnsi="Arial" w:cs="Arial"/>
        </w:rPr>
        <w:t>1913</w:t>
      </w:r>
      <w:r w:rsidRPr="00AE5C99">
        <w:rPr>
          <w:rFonts w:ascii="Arial" w:hAnsi="Arial" w:cs="Arial"/>
        </w:rPr>
        <w:t xml:space="preserve">/2 </w:t>
      </w:r>
      <w:r w:rsidRPr="00AE5C99">
        <w:rPr>
          <w:rFonts w:ascii="Arial" w:hAnsi="Arial" w:cs="Arial"/>
          <w:lang w:val="hr-HR"/>
        </w:rPr>
        <w:t xml:space="preserve">upisanu u List nepokretnosti </w:t>
      </w:r>
      <w:r w:rsidR="0052047E" w:rsidRPr="00AE5C99">
        <w:rPr>
          <w:rFonts w:ascii="Arial" w:hAnsi="Arial" w:cs="Arial"/>
        </w:rPr>
        <w:t>29</w:t>
      </w:r>
      <w:r w:rsidR="000A308E" w:rsidRPr="00AE5C99">
        <w:rPr>
          <w:rFonts w:ascii="Arial" w:hAnsi="Arial" w:cs="Arial"/>
        </w:rPr>
        <w:t>3</w:t>
      </w:r>
      <w:r w:rsidRPr="00AE5C99">
        <w:rPr>
          <w:rFonts w:ascii="Arial" w:hAnsi="Arial" w:cs="Arial"/>
          <w:lang w:val="hr-HR"/>
        </w:rPr>
        <w:t xml:space="preserve"> KO </w:t>
      </w:r>
      <w:r w:rsidR="0052047E" w:rsidRPr="00AE5C99">
        <w:rPr>
          <w:rFonts w:ascii="Arial" w:hAnsi="Arial" w:cs="Arial"/>
          <w:lang w:val="hr-HR"/>
        </w:rPr>
        <w:t>Zaljevo</w:t>
      </w:r>
      <w:r w:rsidRPr="00AE5C99">
        <w:rPr>
          <w:rFonts w:ascii="Arial" w:hAnsi="Arial" w:cs="Arial"/>
          <w:lang w:val="hr-HR"/>
        </w:rPr>
        <w:t>.</w:t>
      </w:r>
    </w:p>
    <w:p w:rsidR="003B2357" w:rsidRPr="00AE5C99" w:rsidRDefault="003B2357" w:rsidP="00AE5C99">
      <w:pPr>
        <w:spacing w:after="0" w:line="240" w:lineRule="auto"/>
        <w:jc w:val="both"/>
        <w:rPr>
          <w:rFonts w:ascii="Arial" w:hAnsi="Arial" w:cs="Arial"/>
          <w:lang w:val="pl-PL"/>
        </w:rPr>
      </w:pPr>
    </w:p>
    <w:p w:rsidR="005B38D3" w:rsidRPr="00AE5C99" w:rsidRDefault="005B38D3" w:rsidP="00AE5C99">
      <w:pPr>
        <w:spacing w:after="0" w:line="240" w:lineRule="auto"/>
        <w:jc w:val="both"/>
        <w:rPr>
          <w:rFonts w:ascii="Arial" w:hAnsi="Arial" w:cs="Arial"/>
          <w:lang w:val="pl-PL"/>
        </w:rPr>
      </w:pPr>
      <w:r w:rsidRPr="00AE5C99">
        <w:rPr>
          <w:rFonts w:ascii="Arial" w:hAnsi="Arial" w:cs="Arial"/>
          <w:lang w:val="pl-PL"/>
        </w:rPr>
        <w:t xml:space="preserve">Koordinate graničnih tačaka i površina ležišta tehničko-građevinskog kamena „Velji Zabio“, dati su u </w:t>
      </w:r>
      <w:r w:rsidR="003B2357" w:rsidRPr="00AE5C99">
        <w:rPr>
          <w:rFonts w:ascii="Arial" w:hAnsi="Arial" w:cs="Arial"/>
          <w:lang w:val="pl-PL"/>
        </w:rPr>
        <w:t>Tehni</w:t>
      </w:r>
      <w:r w:rsidR="003B2357" w:rsidRPr="00AE5C99">
        <w:rPr>
          <w:rFonts w:ascii="Arial" w:hAnsi="Arial" w:cs="Arial"/>
          <w:lang w:val="sr-Latn-ME"/>
        </w:rPr>
        <w:t>čkom izvještaju</w:t>
      </w:r>
      <w:r w:rsidR="003B2357" w:rsidRPr="00AE5C99">
        <w:rPr>
          <w:rFonts w:ascii="Arial" w:hAnsi="Arial" w:cs="Arial"/>
          <w:lang w:val="pl-PL"/>
        </w:rPr>
        <w:t xml:space="preserve">, </w:t>
      </w:r>
      <w:r w:rsidRPr="00AE5C99">
        <w:rPr>
          <w:rFonts w:ascii="Arial" w:hAnsi="Arial" w:cs="Arial"/>
          <w:lang w:val="pl-PL"/>
        </w:rPr>
        <w:t>koji je sastavni dio predmetnog Koncesionog akta.</w:t>
      </w:r>
    </w:p>
    <w:p w:rsidR="003B2357" w:rsidRPr="00AE5C99" w:rsidRDefault="003B2357" w:rsidP="00AE5C99">
      <w:pPr>
        <w:spacing w:after="0" w:line="240" w:lineRule="auto"/>
        <w:jc w:val="both"/>
        <w:rPr>
          <w:rFonts w:ascii="Arial" w:hAnsi="Arial" w:cs="Arial"/>
          <w:lang w:val="pl-PL"/>
        </w:rPr>
      </w:pPr>
    </w:p>
    <w:p w:rsidR="007A6033" w:rsidRPr="00AE5C99" w:rsidRDefault="002E4676" w:rsidP="00AE5C99">
      <w:pPr>
        <w:pStyle w:val="Heading2"/>
        <w:numPr>
          <w:ilvl w:val="1"/>
          <w:numId w:val="18"/>
        </w:numPr>
        <w:spacing w:before="0" w:after="0" w:line="240" w:lineRule="auto"/>
        <w:rPr>
          <w:b/>
          <w:noProof/>
          <w:lang w:val="sr-Latn-CS"/>
        </w:rPr>
      </w:pPr>
      <w:r w:rsidRPr="00AE5C99">
        <w:rPr>
          <w:b/>
          <w:noProof/>
          <w:lang w:val="sr-Latn-CS"/>
        </w:rPr>
        <w:t xml:space="preserve">Podaci o imovinsko-pravnim odnosima </w:t>
      </w:r>
    </w:p>
    <w:p w:rsidR="00715755" w:rsidRPr="00AE5C99" w:rsidRDefault="00715755" w:rsidP="00AE5C99">
      <w:pPr>
        <w:pStyle w:val="Heading2"/>
        <w:spacing w:before="0" w:after="0" w:line="240" w:lineRule="auto"/>
        <w:jc w:val="both"/>
        <w:rPr>
          <w:noProof/>
          <w:lang w:val="sr-Latn-CS"/>
        </w:rPr>
      </w:pPr>
    </w:p>
    <w:p w:rsidR="00715755" w:rsidRPr="00AE5C99" w:rsidRDefault="00715755"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Zemljište na kojem se nalazi lokalite</w:t>
      </w:r>
      <w:r w:rsidR="00226F6F" w:rsidRPr="00AE5C99">
        <w:rPr>
          <w:rFonts w:ascii="Arial" w:hAnsi="Arial" w:cs="Arial"/>
          <w:noProof/>
          <w:lang w:val="sr-Latn-CS"/>
        </w:rPr>
        <w:t>t tehničko-građevinskog kamena „</w:t>
      </w:r>
      <w:r w:rsidRPr="00AE5C99">
        <w:rPr>
          <w:rFonts w:ascii="Arial" w:hAnsi="Arial" w:cs="Arial"/>
          <w:noProof/>
          <w:lang w:val="sr-Latn-CS"/>
        </w:rPr>
        <w:t xml:space="preserve">Velji Zabio“ je, prema informaciji podnosioca inicijative, priloženih listova nepokretnosti Uprave za nekretnine, područna jedinica Bar, kao i uvida u situacioni plan na kome su prikazane katastarske parcele i </w:t>
      </w:r>
      <w:r w:rsidR="00226F6F" w:rsidRPr="00AE5C99">
        <w:rPr>
          <w:rFonts w:ascii="Arial" w:hAnsi="Arial" w:cs="Arial"/>
          <w:noProof/>
          <w:lang w:val="sr-Latn-CS"/>
        </w:rPr>
        <w:t xml:space="preserve">brojevi katastarskh parcela (kp </w:t>
      </w:r>
      <w:r w:rsidRPr="00AE5C99">
        <w:rPr>
          <w:rFonts w:ascii="Arial" w:hAnsi="Arial" w:cs="Arial"/>
          <w:noProof/>
          <w:lang w:val="sr-Latn-CS"/>
        </w:rPr>
        <w:t xml:space="preserve">1913/2) i list nepokretnosti 293 KO Zaljevo, u vlasništvu podnosioca inicijative privrednog društva “Euromixbeton“ d.o.o. Bar. </w:t>
      </w:r>
    </w:p>
    <w:p w:rsidR="00715755" w:rsidRPr="00AE5C99" w:rsidRDefault="00715755" w:rsidP="00AE5C99">
      <w:pPr>
        <w:spacing w:after="0" w:line="240" w:lineRule="auto"/>
        <w:rPr>
          <w:rFonts w:ascii="Arial" w:hAnsi="Arial" w:cs="Arial"/>
          <w:noProof/>
          <w:lang w:val="sr-Latn-CS"/>
        </w:rPr>
      </w:pP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t xml:space="preserve">Površina zahvata istražno-eksploatacionog prostora prikazana je u okviru </w:t>
      </w:r>
      <w:proofErr w:type="spellStart"/>
      <w:r w:rsidR="0052047E" w:rsidRPr="00AE5C99">
        <w:rPr>
          <w:rFonts w:ascii="Arial" w:eastAsia="Times New Roman" w:hAnsi="Arial" w:cs="Arial"/>
        </w:rPr>
        <w:t>Tehničkog</w:t>
      </w:r>
      <w:proofErr w:type="spellEnd"/>
      <w:r w:rsidR="0052047E" w:rsidRPr="00AE5C99">
        <w:rPr>
          <w:rFonts w:ascii="Arial" w:eastAsia="Times New Roman" w:hAnsi="Arial" w:cs="Arial"/>
        </w:rPr>
        <w:t xml:space="preserve"> </w:t>
      </w:r>
      <w:proofErr w:type="spellStart"/>
      <w:r w:rsidR="0052047E" w:rsidRPr="00AE5C99">
        <w:rPr>
          <w:rFonts w:ascii="Arial" w:eastAsia="Times New Roman" w:hAnsi="Arial" w:cs="Arial"/>
        </w:rPr>
        <w:t>izvještaja</w:t>
      </w:r>
      <w:proofErr w:type="spellEnd"/>
      <w:r w:rsidRPr="00AE5C99">
        <w:rPr>
          <w:rFonts w:ascii="Arial" w:hAnsi="Arial" w:cs="Arial"/>
          <w:noProof/>
        </w:rPr>
        <w:t xml:space="preserve"> koji sadrži podatke sa naznačenim vlasnicima u trenutku izrade kao i koordinate graničnih tačaka uslovne parcelacije i preparcelacije. </w:t>
      </w: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lastRenderedPageBreak/>
        <w:t xml:space="preserve">Shodno članu 44 Zakona o koncesijama, ako se u vezi sa korišćenjem koncesije mora izvršiti eksproprijacija nepokretnosti, odnosno uređenje građevinskog zemljišta, troškovi, način i rokovi plaćanja naknade za eksproprijaciju nepokretnosti, odnosno uređenja građevinskog zemljišta, utvrđuju se i sprovodi u skladu sa zakonom. </w:t>
      </w: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t xml:space="preserve">Ukoliko je vlasnik zemljišta koncedent, ne vrši se eksproprijacija, već se smatra da je koncesionar dobijanjem koncesije dobio saglasnost za njegovo korišćenje. </w:t>
      </w: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t>Zakonom o eksproprijaciji ("Sl.list RCG", br. 055/00, 012/02, 028/06,“Sl.list CG", br. 021/08,030/17, 075/18) članom 4a definisano je da se nepokretnosti iz člana 2 ovog zakona mogu eksproprisati, između ostalog, radi istraživanja i eksploatacije rudnog i drugog prirodnog bogatstva.</w:t>
      </w: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t>S tim u vezi Vlada utvrđuje javni interes za eksproprijaciju katastarskih parcela u obuhvatu istražno-eksploatacionog prostora u skladu sa dinamikom eksploatacije u toku trajanja koncesionog ugovora.</w:t>
      </w:r>
    </w:p>
    <w:p w:rsidR="004026ED" w:rsidRPr="00AE5C99" w:rsidRDefault="004026ED" w:rsidP="00AE5C99">
      <w:pPr>
        <w:pStyle w:val="BodyText"/>
        <w:spacing w:before="120" w:after="0" w:line="240" w:lineRule="auto"/>
        <w:jc w:val="both"/>
        <w:rPr>
          <w:rFonts w:ascii="Arial" w:hAnsi="Arial" w:cs="Arial"/>
          <w:noProof/>
        </w:rPr>
      </w:pPr>
      <w:r w:rsidRPr="00AE5C99">
        <w:rPr>
          <w:rFonts w:ascii="Arial" w:hAnsi="Arial" w:cs="Arial"/>
          <w:noProof/>
        </w:rPr>
        <w:t>Članom 45 Zakona o koncesijama na nepokretnosti koja je predmet koncesije upisuje se zabilježba tereta na osnovu zaključenog ugovora o koncesiji, u skladu sa zakonom kojim je uređen upis prava na nepokretnostima.</w:t>
      </w:r>
    </w:p>
    <w:p w:rsidR="00D021C0" w:rsidRPr="00AE5C99" w:rsidRDefault="00D021C0" w:rsidP="00AE5C99">
      <w:pPr>
        <w:pStyle w:val="BodyText"/>
        <w:spacing w:after="0" w:line="240" w:lineRule="auto"/>
        <w:jc w:val="both"/>
        <w:rPr>
          <w:rFonts w:ascii="Arial" w:hAnsi="Arial" w:cs="Arial"/>
          <w:noProof/>
          <w:lang w:val="sr-Latn-CS"/>
        </w:rPr>
      </w:pPr>
    </w:p>
    <w:p w:rsidR="002E4676" w:rsidRPr="00AE5C99" w:rsidRDefault="002E4676" w:rsidP="00AE5C99">
      <w:pPr>
        <w:pStyle w:val="Heading2"/>
        <w:numPr>
          <w:ilvl w:val="1"/>
          <w:numId w:val="18"/>
        </w:numPr>
        <w:spacing w:before="0" w:after="0" w:line="240" w:lineRule="auto"/>
        <w:rPr>
          <w:b/>
          <w:noProof/>
          <w:lang w:val="sr-Latn-CS"/>
        </w:rPr>
      </w:pPr>
      <w:r w:rsidRPr="00AE5C99">
        <w:rPr>
          <w:b/>
          <w:noProof/>
          <w:lang w:val="sr-Latn-CS"/>
        </w:rPr>
        <w:t xml:space="preserve">Podaci iz prostorno–planske dokumentacije </w:t>
      </w:r>
    </w:p>
    <w:p w:rsidR="00D021C0" w:rsidRPr="00AE5C99" w:rsidRDefault="00D021C0" w:rsidP="00AE5C99">
      <w:pPr>
        <w:pStyle w:val="BodyText"/>
        <w:spacing w:after="0" w:line="240" w:lineRule="auto"/>
        <w:jc w:val="both"/>
        <w:rPr>
          <w:rFonts w:ascii="Arial" w:hAnsi="Arial" w:cs="Arial"/>
          <w:noProof/>
          <w:lang w:val="sr-Latn-CS"/>
        </w:rPr>
      </w:pPr>
    </w:p>
    <w:p w:rsidR="00715755" w:rsidRPr="00AE5C99" w:rsidRDefault="00715755"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Na osnovu dopisa Ministarstva održivog razvoja i turizma br. 104-83/463 od 10.12.2018. godine, shodno prostornom planu posebne namjene za Obalno područje Crne Gore (Sl. list CG br.56/18), ležište tehničk</w:t>
      </w:r>
      <w:r w:rsidR="00226F6F" w:rsidRPr="00AE5C99">
        <w:rPr>
          <w:rFonts w:ascii="Arial" w:hAnsi="Arial" w:cs="Arial"/>
          <w:noProof/>
          <w:lang w:val="sr-Latn-CS"/>
        </w:rPr>
        <w:t>o-građevinskog kamena „</w:t>
      </w:r>
      <w:r w:rsidRPr="00AE5C99">
        <w:rPr>
          <w:rFonts w:ascii="Arial" w:hAnsi="Arial" w:cs="Arial"/>
          <w:noProof/>
          <w:lang w:val="sr-Latn-CS"/>
        </w:rPr>
        <w:t>Velji Zabio“ je na grafičkom prilogu Plan namjene površina definisan kao koncesiono područje (3b). U tekstualnom dijelu plana, odnosno poglavlju Pregled ležišta</w:t>
      </w:r>
      <w:r w:rsidR="00226F6F" w:rsidRPr="00AE5C99">
        <w:rPr>
          <w:rFonts w:ascii="Arial" w:hAnsi="Arial" w:cs="Arial"/>
          <w:noProof/>
          <w:lang w:val="sr-Latn-CS"/>
        </w:rPr>
        <w:t xml:space="preserve"> mineralnih sirovina lokalitet „</w:t>
      </w:r>
      <w:r w:rsidRPr="00AE5C99">
        <w:rPr>
          <w:rFonts w:ascii="Arial" w:hAnsi="Arial" w:cs="Arial"/>
          <w:noProof/>
          <w:lang w:val="sr-Latn-CS"/>
        </w:rPr>
        <w:t xml:space="preserve">Velji Zabio“ je definisan kao ležište tehničko-građevinskog kamena. Prije donošenja odluke o pokretanju procedure za izradu koncesione dokumentacije, neophodno je da podnosilac Inicijative, shodno čl. 41 i čl. 19 Zakona o koncesijama obezbijedi podatke o namjeni prostora, odnosno izvod iz prostorno-planske dokumentacije od Sekretarijata za </w:t>
      </w:r>
      <w:r w:rsidR="00226F6F" w:rsidRPr="00AE5C99">
        <w:rPr>
          <w:rFonts w:ascii="Arial" w:hAnsi="Arial" w:cs="Arial"/>
          <w:noProof/>
          <w:lang w:val="sr-Latn-CS"/>
        </w:rPr>
        <w:t>planiranje i uređenje prostora O</w:t>
      </w:r>
      <w:r w:rsidRPr="00AE5C99">
        <w:rPr>
          <w:rFonts w:ascii="Arial" w:hAnsi="Arial" w:cs="Arial"/>
          <w:noProof/>
          <w:lang w:val="sr-Latn-CS"/>
        </w:rPr>
        <w:t>pštine Bar i/ili drugog nadležnog organa.</w:t>
      </w:r>
    </w:p>
    <w:p w:rsidR="00226F6F" w:rsidRPr="00AE5C99" w:rsidRDefault="00226F6F" w:rsidP="00AE5C99">
      <w:pPr>
        <w:pStyle w:val="BodyText"/>
        <w:spacing w:after="0" w:line="240" w:lineRule="auto"/>
        <w:jc w:val="both"/>
        <w:rPr>
          <w:rFonts w:ascii="Arial" w:hAnsi="Arial" w:cs="Arial"/>
          <w:noProof/>
          <w:lang w:val="sr-Latn-CS"/>
        </w:rPr>
      </w:pPr>
    </w:p>
    <w:p w:rsidR="008D6331" w:rsidRPr="00AE5C99" w:rsidRDefault="008D6331" w:rsidP="00AE5C99">
      <w:pPr>
        <w:pStyle w:val="BodyText"/>
        <w:numPr>
          <w:ilvl w:val="1"/>
          <w:numId w:val="18"/>
        </w:numPr>
        <w:spacing w:after="0" w:line="240" w:lineRule="auto"/>
        <w:jc w:val="both"/>
        <w:rPr>
          <w:rFonts w:ascii="Arial" w:hAnsi="Arial" w:cs="Arial"/>
          <w:b/>
          <w:noProof/>
          <w:lang w:val="sr-Latn-CS"/>
        </w:rPr>
      </w:pPr>
      <w:r w:rsidRPr="00AE5C99">
        <w:rPr>
          <w:rFonts w:ascii="Arial" w:hAnsi="Arial" w:cs="Arial"/>
          <w:b/>
          <w:noProof/>
          <w:lang w:val="sr-Latn-CS"/>
        </w:rPr>
        <w:t>Mišljenje Uprave za zaštitu kulturnih dobara</w:t>
      </w:r>
    </w:p>
    <w:p w:rsidR="00D021C0" w:rsidRPr="00AE5C99" w:rsidRDefault="00D021C0" w:rsidP="00AE5C99">
      <w:pPr>
        <w:pStyle w:val="BodyText"/>
        <w:spacing w:after="0" w:line="240" w:lineRule="auto"/>
        <w:jc w:val="both"/>
        <w:rPr>
          <w:rFonts w:ascii="Arial" w:hAnsi="Arial" w:cs="Arial"/>
          <w:noProof/>
          <w:lang w:val="sr-Latn-CS"/>
        </w:rPr>
      </w:pPr>
    </w:p>
    <w:p w:rsidR="00D021C0" w:rsidRPr="00AE5C99" w:rsidRDefault="00BD7EA2" w:rsidP="00AE5C99">
      <w:pPr>
        <w:spacing w:after="0" w:line="240" w:lineRule="auto"/>
        <w:jc w:val="both"/>
        <w:rPr>
          <w:rFonts w:ascii="Arial" w:hAnsi="Arial" w:cs="Arial"/>
          <w:noProof/>
          <w:lang w:val="sr-Latn-CS"/>
        </w:rPr>
      </w:pPr>
      <w:r w:rsidRPr="00AE5C99">
        <w:rPr>
          <w:rFonts w:ascii="Arial" w:hAnsi="Arial" w:cs="Arial"/>
          <w:noProof/>
          <w:lang w:val="sr-Latn-CS"/>
        </w:rPr>
        <w:t>Sa aspekta zaštite kulturnih dobara nema smetnji za realizaciju predmetne koncesije, odnos</w:t>
      </w:r>
      <w:r w:rsidR="00226F6F" w:rsidRPr="00AE5C99">
        <w:rPr>
          <w:rFonts w:ascii="Arial" w:hAnsi="Arial" w:cs="Arial"/>
          <w:noProof/>
          <w:lang w:val="sr-Latn-CS"/>
        </w:rPr>
        <w:t>no eksploataciju tehničko–građevinskog kamena na ležištu „</w:t>
      </w:r>
      <w:r w:rsidRPr="00AE5C99">
        <w:rPr>
          <w:rFonts w:ascii="Arial" w:hAnsi="Arial" w:cs="Arial"/>
          <w:noProof/>
          <w:lang w:val="sr-Latn-CS"/>
        </w:rPr>
        <w:t>Velji Zabio“.</w:t>
      </w:r>
    </w:p>
    <w:p w:rsidR="00226F6F" w:rsidRPr="00AE5C99" w:rsidRDefault="00226F6F" w:rsidP="00AE5C99">
      <w:pPr>
        <w:spacing w:after="0" w:line="240" w:lineRule="auto"/>
        <w:jc w:val="both"/>
        <w:rPr>
          <w:rFonts w:ascii="Arial" w:hAnsi="Arial" w:cs="Arial"/>
          <w:noProof/>
          <w:lang w:val="sr-Latn-CS"/>
        </w:rPr>
      </w:pPr>
    </w:p>
    <w:p w:rsidR="002E4676" w:rsidRPr="00AE5C99" w:rsidRDefault="002E4676" w:rsidP="00AE5C99">
      <w:pPr>
        <w:pStyle w:val="Heading2"/>
        <w:numPr>
          <w:ilvl w:val="1"/>
          <w:numId w:val="18"/>
        </w:numPr>
        <w:spacing w:before="0" w:after="0" w:line="240" w:lineRule="auto"/>
        <w:rPr>
          <w:b/>
          <w:noProof/>
          <w:lang w:val="sr-Latn-CS"/>
        </w:rPr>
      </w:pPr>
      <w:r w:rsidRPr="00AE5C99">
        <w:rPr>
          <w:b/>
          <w:noProof/>
          <w:lang w:val="sr-Latn-CS"/>
        </w:rPr>
        <w:t xml:space="preserve">Infrastrukturni objekti na </w:t>
      </w:r>
      <w:r w:rsidR="0081009B" w:rsidRPr="00AE5C99">
        <w:rPr>
          <w:b/>
          <w:noProof/>
          <w:lang w:val="sr-Latn-CS"/>
        </w:rPr>
        <w:t xml:space="preserve">prostoru </w:t>
      </w:r>
      <w:r w:rsidR="00DA601A" w:rsidRPr="00AE5C99">
        <w:rPr>
          <w:b/>
          <w:noProof/>
          <w:lang w:val="sr-Latn-CS"/>
        </w:rPr>
        <w:t>ležišta</w:t>
      </w:r>
      <w:r w:rsidR="0081009B" w:rsidRPr="00AE5C99">
        <w:rPr>
          <w:b/>
          <w:noProof/>
          <w:lang w:val="sr-Latn-CS"/>
        </w:rPr>
        <w:t xml:space="preserve"> tehničko-građevinskog kamena </w:t>
      </w:r>
      <w:r w:rsidR="00226F6F" w:rsidRPr="00AE5C99">
        <w:rPr>
          <w:b/>
          <w:noProof/>
          <w:lang w:val="sr-Latn-CS"/>
        </w:rPr>
        <w:t>„</w:t>
      </w:r>
      <w:r w:rsidR="001D297B" w:rsidRPr="00AE5C99">
        <w:rPr>
          <w:b/>
          <w:noProof/>
          <w:lang w:val="sr-Latn-CS"/>
        </w:rPr>
        <w:t>Velji Zabio”</w:t>
      </w:r>
    </w:p>
    <w:p w:rsidR="00D021C0" w:rsidRPr="00AE5C99" w:rsidRDefault="00D021C0" w:rsidP="00AE5C99">
      <w:pPr>
        <w:pStyle w:val="BodyText"/>
        <w:spacing w:after="0" w:line="240" w:lineRule="auto"/>
        <w:jc w:val="both"/>
        <w:rPr>
          <w:rFonts w:ascii="Arial" w:hAnsi="Arial" w:cs="Arial"/>
          <w:noProof/>
          <w:lang w:val="sr-Latn-CS"/>
        </w:rPr>
      </w:pPr>
    </w:p>
    <w:p w:rsidR="00F6499D" w:rsidRPr="00AE5C99" w:rsidRDefault="00F6499D"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Saobraćajne veze u užem i širem području eksploatacionog prostora su veoma dobre, kada se radi o drumskom, željezničkom i pomorskom saobraćaju. Samo ležište</w:t>
      </w:r>
      <w:r w:rsidR="003A33EA" w:rsidRPr="00AE5C99">
        <w:rPr>
          <w:rFonts w:ascii="Arial" w:hAnsi="Arial" w:cs="Arial"/>
          <w:noProof/>
          <w:lang w:val="sr-Latn-CS"/>
        </w:rPr>
        <w:t xml:space="preserve"> je lokalnim putem povezano sa J</w:t>
      </w:r>
      <w:r w:rsidRPr="00AE5C99">
        <w:rPr>
          <w:rFonts w:ascii="Arial" w:hAnsi="Arial" w:cs="Arial"/>
          <w:noProof/>
          <w:lang w:val="sr-Latn-CS"/>
        </w:rPr>
        <w:t>adranskom magistralom</w:t>
      </w:r>
      <w:r w:rsidR="00175EBD">
        <w:rPr>
          <w:rFonts w:ascii="Arial" w:hAnsi="Arial" w:cs="Arial"/>
          <w:noProof/>
          <w:lang w:val="sr-Latn-CS"/>
        </w:rPr>
        <w:t>, tj. sa magistralnim putem Bar</w:t>
      </w:r>
      <w:r w:rsidRPr="00AE5C99">
        <w:rPr>
          <w:rFonts w:ascii="Arial" w:hAnsi="Arial" w:cs="Arial"/>
          <w:noProof/>
          <w:lang w:val="sr-Latn-CS"/>
        </w:rPr>
        <w:t>– Ulcinj, a sa njim i sa željezniškom stanicom i lukom Bar. Najbliža željeznička stanica i pomorska luka je u Baru.</w:t>
      </w:r>
    </w:p>
    <w:p w:rsidR="00226F6F" w:rsidRPr="00AE5C99" w:rsidRDefault="00226F6F" w:rsidP="00AE5C99">
      <w:pPr>
        <w:pStyle w:val="BodyText"/>
        <w:spacing w:after="0" w:line="240" w:lineRule="auto"/>
        <w:jc w:val="both"/>
        <w:rPr>
          <w:rFonts w:ascii="Arial" w:hAnsi="Arial" w:cs="Arial"/>
          <w:noProof/>
          <w:lang w:val="sr-Latn-CS"/>
        </w:rPr>
      </w:pPr>
    </w:p>
    <w:p w:rsidR="00F6499D" w:rsidRPr="00AE5C99" w:rsidRDefault="00F6499D"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Blizina gradskog naselja, željezniške pruge, luke i magistralnih puteva, predstavljaju v</w:t>
      </w:r>
      <w:r w:rsidR="00226F6F" w:rsidRPr="00AE5C99">
        <w:rPr>
          <w:rFonts w:ascii="Arial" w:hAnsi="Arial" w:cs="Arial"/>
          <w:noProof/>
          <w:lang w:val="sr-Latn-CS"/>
        </w:rPr>
        <w:t>eoma povoljne uslove za ekonomič</w:t>
      </w:r>
      <w:r w:rsidRPr="00AE5C99">
        <w:rPr>
          <w:rFonts w:ascii="Arial" w:hAnsi="Arial" w:cs="Arial"/>
          <w:noProof/>
          <w:lang w:val="sr-Latn-CS"/>
        </w:rPr>
        <w:t>an rad kamenoloma</w:t>
      </w:r>
      <w:r w:rsidR="00226F6F" w:rsidRPr="00AE5C99">
        <w:rPr>
          <w:rFonts w:ascii="Arial" w:hAnsi="Arial" w:cs="Arial"/>
          <w:noProof/>
          <w:lang w:val="sr-Latn-CS"/>
        </w:rPr>
        <w:t>.</w:t>
      </w:r>
    </w:p>
    <w:p w:rsidR="00F6499D" w:rsidRPr="00AE5C99" w:rsidRDefault="00F6499D" w:rsidP="00AE5C99">
      <w:pPr>
        <w:pStyle w:val="BodyText"/>
        <w:spacing w:after="0" w:line="240" w:lineRule="auto"/>
        <w:jc w:val="both"/>
        <w:rPr>
          <w:rFonts w:ascii="Arial" w:hAnsi="Arial" w:cs="Arial"/>
          <w:noProof/>
          <w:lang w:val="sr-Latn-CS"/>
        </w:rPr>
      </w:pPr>
    </w:p>
    <w:p w:rsidR="00F6499D" w:rsidRPr="00AE5C99" w:rsidRDefault="00F6499D"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Što se tiče vodosnabdijevanja, potrebne količine pijaće i industrijske vode, potrebne električne energije za rad drobiličnog postrojenja i pratećih objekata, tečnog pogonskog goriva, neophodnog za rad građevinskih mašina i kamiona, može se zaključiti da postoje svi potrebni uslovi za nesmetan rad na kamenolomu.</w:t>
      </w:r>
    </w:p>
    <w:p w:rsidR="00F6499D" w:rsidRPr="00AE5C99" w:rsidRDefault="00F6499D" w:rsidP="00AE5C99">
      <w:pPr>
        <w:pStyle w:val="BodyText"/>
        <w:spacing w:after="0" w:line="240" w:lineRule="auto"/>
        <w:jc w:val="both"/>
        <w:rPr>
          <w:rFonts w:ascii="Arial" w:hAnsi="Arial" w:cs="Arial"/>
          <w:noProof/>
          <w:lang w:val="sr-Latn-CS"/>
        </w:rPr>
      </w:pPr>
    </w:p>
    <w:p w:rsidR="00F6499D" w:rsidRPr="00AE5C99" w:rsidRDefault="00F6499D"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U granicama ležišta nema naselja, a zemljište je obraslo niskom šumom i kamenito, zbog čega je teško prohodno.</w:t>
      </w:r>
      <w:r w:rsidR="003A33EA" w:rsidRPr="00AE5C99">
        <w:rPr>
          <w:rFonts w:ascii="Arial" w:hAnsi="Arial" w:cs="Arial"/>
          <w:noProof/>
          <w:lang w:val="sr-Latn-CS"/>
        </w:rPr>
        <w:t xml:space="preserve"> </w:t>
      </w:r>
      <w:r w:rsidRPr="00AE5C99">
        <w:rPr>
          <w:rFonts w:ascii="Arial" w:hAnsi="Arial" w:cs="Arial"/>
          <w:noProof/>
          <w:lang w:val="sr-Latn-CS"/>
        </w:rPr>
        <w:t>U blizini ležišta nal</w:t>
      </w:r>
      <w:r w:rsidR="003A33EA" w:rsidRPr="00AE5C99">
        <w:rPr>
          <w:rFonts w:ascii="Arial" w:hAnsi="Arial" w:cs="Arial"/>
          <w:noProof/>
          <w:lang w:val="sr-Latn-CS"/>
        </w:rPr>
        <w:t xml:space="preserve">azi se upravna zgrada i pomoćni objekti </w:t>
      </w:r>
      <w:r w:rsidR="003A33EA" w:rsidRPr="00AE5C99">
        <w:rPr>
          <w:rFonts w:ascii="Arial" w:hAnsi="Arial" w:cs="Arial"/>
          <w:noProof/>
          <w:lang w:val="sr-Latn-CS"/>
        </w:rPr>
        <w:lastRenderedPageBreak/>
        <w:t>neophodni za eksploataciju tehničko–</w:t>
      </w:r>
      <w:r w:rsidRPr="00AE5C99">
        <w:rPr>
          <w:rFonts w:ascii="Arial" w:hAnsi="Arial" w:cs="Arial"/>
          <w:noProof/>
          <w:lang w:val="sr-Latn-CS"/>
        </w:rPr>
        <w:t xml:space="preserve">građevinskog kamena. Kao što je navedeno u neposrednoj blizini se nalazi Jadranska magistrala sa kojom je predmetno ležište povezano sa Barom prema zapadu, odnosno Ulcinjem prema jugoistoku. U ekonomskom pogledu, a imajući u vidu postojeću infrastrukturu, ovo područje je, uglavnom, oslonjeno na Bar. Na području Bara, u priobalnom dijelu, nalazi se veći broj naseljenih mjesta. Bar sa svojom okolinom kojoj pripada i predmetno ležište, je gusto naseljeno područje. </w:t>
      </w:r>
    </w:p>
    <w:p w:rsidR="00045BF7" w:rsidRPr="00AE5C99" w:rsidRDefault="00045BF7" w:rsidP="00AE5C99">
      <w:pPr>
        <w:spacing w:line="240" w:lineRule="auto"/>
        <w:rPr>
          <w:rFonts w:ascii="Arial" w:hAnsi="Arial" w:cs="Arial"/>
          <w:noProof/>
          <w:lang w:val="sr-Latn-CS"/>
        </w:rPr>
      </w:pPr>
    </w:p>
    <w:p w:rsidR="00A87E2C" w:rsidRPr="00AE5C99" w:rsidRDefault="00AE40E6" w:rsidP="00AE5C99">
      <w:pPr>
        <w:pStyle w:val="Heading2"/>
        <w:numPr>
          <w:ilvl w:val="1"/>
          <w:numId w:val="18"/>
        </w:numPr>
        <w:spacing w:before="0" w:after="0" w:line="240" w:lineRule="auto"/>
        <w:rPr>
          <w:b/>
          <w:noProof/>
          <w:lang w:val="sr-Latn-CS"/>
        </w:rPr>
      </w:pPr>
      <w:r w:rsidRPr="00AE5C99">
        <w:rPr>
          <w:b/>
          <w:noProof/>
          <w:lang w:val="sr-Latn-CS"/>
        </w:rPr>
        <w:t xml:space="preserve">Geomorfološke karakteristike </w:t>
      </w:r>
    </w:p>
    <w:p w:rsidR="00D021C0" w:rsidRPr="00AE5C99" w:rsidRDefault="00D021C0" w:rsidP="00AE5C99">
      <w:pPr>
        <w:pStyle w:val="Heading2"/>
        <w:spacing w:before="0" w:after="0" w:line="240" w:lineRule="auto"/>
        <w:jc w:val="both"/>
        <w:rPr>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U geomorfol</w:t>
      </w:r>
      <w:r w:rsidR="003A33EA" w:rsidRPr="00AE5C99">
        <w:rPr>
          <w:rFonts w:ascii="Arial" w:hAnsi="Arial" w:cs="Arial"/>
          <w:noProof/>
          <w:lang w:val="sr-Latn-CS"/>
        </w:rPr>
        <w:t>oškom pogledu područje ležišta „</w:t>
      </w:r>
      <w:r w:rsidRPr="00AE5C99">
        <w:rPr>
          <w:rFonts w:ascii="Arial" w:hAnsi="Arial" w:cs="Arial"/>
          <w:noProof/>
          <w:lang w:val="sr-Latn-CS"/>
        </w:rPr>
        <w:t>Velji Zabio“ pripada oblasti Crnogorskog primorja. Reljef ovog područja je u direktnoj zavisnosti od litološkog sastava i strukturnog sklopa terena, tako da se jasno izdvaja priobalni pojas izgrađen od flišnih naslaga i zaleđe izgrađeno od karbonatnih stijena krečnjačko-dolomitskog sastava. Visinske razlike, manje ili više, brzo rastu od obale prema zaleđu.</w:t>
      </w:r>
    </w:p>
    <w:p w:rsidR="003A33EA" w:rsidRPr="00AE5C99" w:rsidRDefault="003A33EA" w:rsidP="00AE5C99">
      <w:pPr>
        <w:spacing w:after="0" w:line="240" w:lineRule="auto"/>
        <w:jc w:val="both"/>
        <w:rPr>
          <w:rFonts w:ascii="Arial" w:hAnsi="Arial" w:cs="Arial"/>
          <w:noProof/>
          <w:lang w:val="sr-Latn-CS"/>
        </w:rPr>
      </w:pPr>
    </w:p>
    <w:p w:rsidR="00F6499D" w:rsidRPr="00AE5C99" w:rsidRDefault="00F6499D" w:rsidP="00AE5C99">
      <w:pPr>
        <w:spacing w:line="240" w:lineRule="auto"/>
        <w:jc w:val="both"/>
        <w:rPr>
          <w:rFonts w:ascii="Arial" w:hAnsi="Arial" w:cs="Arial"/>
          <w:noProof/>
          <w:lang w:val="sr-Latn-CS"/>
        </w:rPr>
      </w:pPr>
      <w:r w:rsidRPr="00AE5C99">
        <w:rPr>
          <w:rFonts w:ascii="Arial" w:hAnsi="Arial" w:cs="Arial"/>
          <w:noProof/>
          <w:lang w:val="sr-Latn-CS"/>
        </w:rPr>
        <w:t>U priobalnom pojasu izdvajaju se markantne reljefne cjeline kao što je Barsko polje, koje predstavlja kvartarno-akumulacionu oblast u kojoj se javljaju brojna manja ulegnuća i grebeni. Zaleđe zahvata sjeverni dio ovog područja i ima odlike brdsko-planinskog reljefa sa značajnijim uzvišenjima: Veligrad (496 m.n.v.), Volujica (256 m.n.v.), Mendra (164 m.n.v.), Bijela Gora (286 m.n.v.), Mali Kručiš (378 m.n.v.), zatim planinski vrhovi: Rastovac (999 m.n.v.), Sozina (990 m.n.v.), Vrsuta (1.152 m.n.v.), Lisinj (1.351 m.n.v.). Teren se prema moru i Barskom polju spušta veoma strmo. Brdo Volujica, u morfološkom smislu, predstavlja poluostrvo, sa najvisočijom kotom od 256 m.n.v. i završava se istoimenim rtom. Brdo se pruža pravcem SZ - JI, čija se sjeverna padina strmo spušta prema ravni Barskog polja. Značajni morfološki oblici, koji se pojavljuju u ovom kraju, su vrtače i manje jame, tipični predstavnici morfologije karsta.</w:t>
      </w: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Poluostrvo Volujica sa izraženim osnovnim grebenom, strmim jugozapadnim i sjeveroistočnim padinama, slabo razuđenom obalom, geološko-tektonskim sklopom i relativno malom površinom koju zahvata, nema uslova za pojavu, kako površinskih, tako i podzemnih voda.</w:t>
      </w:r>
    </w:p>
    <w:p w:rsidR="00D021C0" w:rsidRPr="00AE5C99" w:rsidRDefault="00D021C0" w:rsidP="00AE5C99">
      <w:pPr>
        <w:pStyle w:val="BodyText"/>
        <w:spacing w:after="0" w:line="240" w:lineRule="auto"/>
        <w:jc w:val="both"/>
        <w:rPr>
          <w:rFonts w:ascii="Arial" w:hAnsi="Arial" w:cs="Arial"/>
          <w:noProof/>
          <w:lang w:val="sr-Latn-CS"/>
        </w:rPr>
      </w:pPr>
    </w:p>
    <w:p w:rsidR="00AE40E6" w:rsidRPr="00AE5C99" w:rsidRDefault="00AE40E6" w:rsidP="00AE5C99">
      <w:pPr>
        <w:pStyle w:val="Heading2"/>
        <w:numPr>
          <w:ilvl w:val="1"/>
          <w:numId w:val="18"/>
        </w:numPr>
        <w:spacing w:before="0" w:after="0" w:line="240" w:lineRule="auto"/>
        <w:rPr>
          <w:b/>
          <w:noProof/>
          <w:lang w:val="sr-Latn-CS"/>
        </w:rPr>
      </w:pPr>
      <w:r w:rsidRPr="00AE5C99">
        <w:rPr>
          <w:b/>
          <w:noProof/>
          <w:lang w:val="sr-Latn-CS"/>
        </w:rPr>
        <w:t>Hidrografske karakteristike</w:t>
      </w:r>
    </w:p>
    <w:p w:rsidR="00D021C0" w:rsidRPr="00AE5C99" w:rsidRDefault="00D021C0" w:rsidP="00AE5C99">
      <w:pPr>
        <w:pStyle w:val="BodyText"/>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 xml:space="preserve">Hidrogeološke prilike ovog područja uslovljene su klimom, geološkom građom, litološkim sastavom stijenskih masa i njihovim zalijeganjem, tektonskim i morfološkim karakteristikama. </w:t>
      </w:r>
    </w:p>
    <w:p w:rsidR="003A33EA" w:rsidRPr="00AE5C99" w:rsidRDefault="003A33EA"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Sa hidrogeološkog aspekta, odlike područja u kome se nalazi ležište tehničko-građevinsk</w:t>
      </w:r>
      <w:r w:rsidR="003A33EA" w:rsidRPr="00AE5C99">
        <w:rPr>
          <w:rFonts w:ascii="Arial" w:hAnsi="Arial" w:cs="Arial"/>
          <w:noProof/>
          <w:lang w:val="sr-Latn-CS"/>
        </w:rPr>
        <w:t>og kamena „</w:t>
      </w:r>
      <w:r w:rsidRPr="00AE5C99">
        <w:rPr>
          <w:rFonts w:ascii="Arial" w:hAnsi="Arial" w:cs="Arial"/>
          <w:noProof/>
          <w:lang w:val="sr-Latn-CS"/>
        </w:rPr>
        <w:t>Velji Zabio” su relativno jednostavne, sa slabo razvijenom hidrografskom mrežom. Javljaju se povremeni tokovi u rječicama Orahovštici i Željeznici. Na obalnom pojasu su izraženi različiti oblici reljefa koji su posledica dejstva morskih talasa i drugih agenasa. U širem dijelu terena kaptirani su izvori sa malom izdašnošću, koji se koriste za vodosnabdjevanje okolnih naselja, itd.</w:t>
      </w:r>
    </w:p>
    <w:p w:rsidR="003A33EA" w:rsidRPr="00AE5C99" w:rsidRDefault="003A33EA" w:rsidP="00AE5C99">
      <w:pPr>
        <w:spacing w:after="0" w:line="240" w:lineRule="auto"/>
        <w:jc w:val="both"/>
        <w:rPr>
          <w:rFonts w:ascii="Arial" w:hAnsi="Arial" w:cs="Arial"/>
          <w:noProof/>
          <w:lang w:val="sr-Latn-CS"/>
        </w:rPr>
      </w:pPr>
    </w:p>
    <w:p w:rsidR="00AE40E6" w:rsidRPr="00AE5C99" w:rsidRDefault="00AE40E6" w:rsidP="00AE5C99">
      <w:pPr>
        <w:pStyle w:val="Heading2"/>
        <w:numPr>
          <w:ilvl w:val="1"/>
          <w:numId w:val="18"/>
        </w:numPr>
        <w:spacing w:before="0" w:after="0" w:line="240" w:lineRule="auto"/>
        <w:rPr>
          <w:b/>
          <w:noProof/>
          <w:lang w:val="sr-Latn-CS"/>
        </w:rPr>
      </w:pPr>
      <w:r w:rsidRPr="00AE5C99">
        <w:rPr>
          <w:b/>
          <w:noProof/>
          <w:lang w:val="sr-Latn-CS"/>
        </w:rPr>
        <w:t>Klimatske odlike</w:t>
      </w:r>
    </w:p>
    <w:p w:rsidR="00D021C0" w:rsidRPr="00AE5C99" w:rsidRDefault="00D021C0" w:rsidP="00AE5C99">
      <w:pPr>
        <w:pStyle w:val="BodyText"/>
        <w:spacing w:after="0" w:line="240" w:lineRule="auto"/>
        <w:jc w:val="both"/>
        <w:rPr>
          <w:rFonts w:ascii="Arial" w:hAnsi="Arial" w:cs="Arial"/>
          <w:noProof/>
          <w:lang w:val="sr-Latn-CS"/>
        </w:rPr>
      </w:pPr>
    </w:p>
    <w:p w:rsidR="007D6539" w:rsidRPr="00AE5C99" w:rsidRDefault="007D6539"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Klimatske karakteristike ovog područja uslovljene su njegovim geografskim položajem, nadmorskom visinom i reljefom. </w:t>
      </w:r>
    </w:p>
    <w:p w:rsidR="00D021C0" w:rsidRPr="00AE5C99" w:rsidRDefault="00D021C0" w:rsidP="00AE5C99">
      <w:pPr>
        <w:pStyle w:val="BodyText"/>
        <w:spacing w:after="0" w:line="240" w:lineRule="auto"/>
        <w:jc w:val="both"/>
        <w:rPr>
          <w:rFonts w:ascii="Arial" w:hAnsi="Arial" w:cs="Arial"/>
          <w:noProof/>
          <w:lang w:val="sr-Latn-CS"/>
        </w:rPr>
      </w:pPr>
    </w:p>
    <w:p w:rsidR="00BD7EA2" w:rsidRPr="00AE5C99" w:rsidRDefault="00BD7EA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U klimatskom pogledu, područje pripada mediteranskom tipu sa bogatstvom padavina, velikom vlažnosti, temperaturama sa malim dnevnim i godišnjim kolebanjima, dok vjetrovi duvaju pretežno iz pravca sjevera, kad su hladni i suvi, a iz pravca juga topli i praćeni obilnim padavinama. Obilježja područja sa mediteranskom klimom su dugi, topli i sušni letnji periodi, a blagi i kišni zimski perodi.</w:t>
      </w:r>
    </w:p>
    <w:p w:rsidR="009C7ACB" w:rsidRPr="00AE5C99" w:rsidRDefault="009C7ACB" w:rsidP="00AE5C99">
      <w:pPr>
        <w:pStyle w:val="BodyText"/>
        <w:spacing w:after="0" w:line="240" w:lineRule="auto"/>
        <w:jc w:val="both"/>
        <w:rPr>
          <w:rFonts w:ascii="Arial" w:hAnsi="Arial" w:cs="Arial"/>
          <w:noProof/>
          <w:lang w:val="sr-Latn-CS"/>
        </w:rPr>
      </w:pPr>
    </w:p>
    <w:p w:rsidR="00BD7EA2" w:rsidRPr="00AE5C99" w:rsidRDefault="00BD7EA2" w:rsidP="00AE5C99">
      <w:pPr>
        <w:spacing w:line="240" w:lineRule="auto"/>
        <w:rPr>
          <w:rFonts w:ascii="Arial" w:hAnsi="Arial" w:cs="Arial"/>
          <w:noProof/>
          <w:lang w:val="sr-Latn-CS"/>
        </w:rPr>
      </w:pPr>
      <w:r w:rsidRPr="00AE5C99">
        <w:rPr>
          <w:rFonts w:ascii="Arial" w:hAnsi="Arial" w:cs="Arial"/>
          <w:b/>
          <w:i/>
          <w:noProof/>
          <w:lang w:val="sr-Latn-CS"/>
        </w:rPr>
        <w:t xml:space="preserve">Tabela </w:t>
      </w:r>
      <w:r w:rsidR="00454387" w:rsidRPr="00AE5C99">
        <w:rPr>
          <w:rFonts w:ascii="Arial" w:hAnsi="Arial" w:cs="Arial"/>
          <w:b/>
          <w:i/>
          <w:noProof/>
          <w:lang w:val="sr-Latn-CS"/>
        </w:rPr>
        <w:t>2</w:t>
      </w:r>
      <w:r w:rsidRPr="00AE5C99">
        <w:rPr>
          <w:rFonts w:ascii="Arial" w:hAnsi="Arial" w:cs="Arial"/>
          <w:b/>
          <w:i/>
          <w:noProof/>
          <w:lang w:val="sr-Latn-CS"/>
        </w:rPr>
        <w:t xml:space="preserve">: </w:t>
      </w:r>
      <w:r w:rsidRPr="00AE5C99">
        <w:rPr>
          <w:rFonts w:ascii="Arial" w:hAnsi="Arial" w:cs="Arial"/>
          <w:i/>
          <w:noProof/>
          <w:lang w:val="sr-Latn-CS"/>
        </w:rPr>
        <w:t>Srednje mjesečne i godišnje temperature vazduha (1961.-1990.)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608"/>
        <w:gridCol w:w="608"/>
        <w:gridCol w:w="645"/>
        <w:gridCol w:w="645"/>
        <w:gridCol w:w="645"/>
        <w:gridCol w:w="645"/>
        <w:gridCol w:w="645"/>
        <w:gridCol w:w="645"/>
        <w:gridCol w:w="645"/>
        <w:gridCol w:w="645"/>
        <w:gridCol w:w="645"/>
        <w:gridCol w:w="609"/>
        <w:gridCol w:w="718"/>
      </w:tblGrid>
      <w:tr w:rsidR="00BD7EA2" w:rsidRPr="00AE5C99" w:rsidTr="00215017">
        <w:tc>
          <w:tcPr>
            <w:tcW w:w="608" w:type="dxa"/>
            <w:vMerge w:val="restart"/>
            <w:tcBorders>
              <w:top w:val="thinThickSmallGap" w:sz="12" w:space="0" w:color="auto"/>
              <w:left w:val="thinThickSmallGap" w:sz="12" w:space="0" w:color="auto"/>
              <w:bottom w:val="single" w:sz="4" w:space="0" w:color="auto"/>
              <w:right w:val="single" w:sz="4" w:space="0" w:color="auto"/>
            </w:tcBorders>
            <w:vAlign w:val="center"/>
          </w:tcPr>
          <w:p w:rsidR="00BD7EA2" w:rsidRPr="00AE5C99" w:rsidRDefault="00BD7EA2" w:rsidP="00AE5C99">
            <w:pPr>
              <w:spacing w:after="0" w:line="240" w:lineRule="auto"/>
              <w:rPr>
                <w:rFonts w:ascii="Arial" w:hAnsi="Arial" w:cs="Arial"/>
                <w:noProof/>
                <w:lang w:val="sr-Latn-CS"/>
              </w:rPr>
            </w:pPr>
            <w:r w:rsidRPr="00AE5C99">
              <w:rPr>
                <w:rFonts w:ascii="Arial" w:hAnsi="Arial" w:cs="Arial"/>
                <w:noProof/>
                <w:lang w:val="sr-Latn-CS"/>
              </w:rPr>
              <w:t>Mjesto</w:t>
            </w:r>
          </w:p>
        </w:tc>
        <w:tc>
          <w:tcPr>
            <w:tcW w:w="7914" w:type="dxa"/>
            <w:gridSpan w:val="13"/>
            <w:tcBorders>
              <w:top w:val="thinThickSmallGap" w:sz="12" w:space="0" w:color="auto"/>
              <w:left w:val="single" w:sz="4" w:space="0" w:color="auto"/>
              <w:bottom w:val="single" w:sz="4" w:space="0" w:color="auto"/>
              <w:right w:val="thinThickSmallGap" w:sz="12" w:space="0" w:color="auto"/>
            </w:tcBorders>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Srednje mjesečne i godišnje temperature vazduha (ºC)</w:t>
            </w:r>
          </w:p>
        </w:tc>
      </w:tr>
      <w:tr w:rsidR="00AE5C99" w:rsidRPr="00AE5C99" w:rsidTr="00215017">
        <w:tc>
          <w:tcPr>
            <w:tcW w:w="0" w:type="auto"/>
            <w:vMerge/>
            <w:tcBorders>
              <w:top w:val="thinThickSmallGap" w:sz="12" w:space="0" w:color="auto"/>
              <w:left w:val="thinThickSmallGap" w:sz="12" w:space="0" w:color="auto"/>
              <w:bottom w:val="single" w:sz="4" w:space="0" w:color="auto"/>
              <w:right w:val="single" w:sz="4" w:space="0" w:color="auto"/>
            </w:tcBorders>
            <w:vAlign w:val="center"/>
          </w:tcPr>
          <w:p w:rsidR="00BD7EA2" w:rsidRPr="00AE5C99" w:rsidRDefault="00BD7EA2" w:rsidP="00AE5C99">
            <w:pPr>
              <w:spacing w:line="240" w:lineRule="auto"/>
              <w:rPr>
                <w:rFonts w:ascii="Arial" w:hAnsi="Arial" w:cs="Arial"/>
                <w:noProof/>
                <w:lang w:val="sr-Latn-CS"/>
              </w:rPr>
            </w:pPr>
          </w:p>
        </w:tc>
        <w:tc>
          <w:tcPr>
            <w:tcW w:w="608"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I</w:t>
            </w:r>
          </w:p>
        </w:tc>
        <w:tc>
          <w:tcPr>
            <w:tcW w:w="608"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II</w:t>
            </w:r>
          </w:p>
        </w:tc>
        <w:tc>
          <w:tcPr>
            <w:tcW w:w="608"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III</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IV</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V</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VI</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VII</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VIII</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IX</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X</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XI</w:t>
            </w:r>
          </w:p>
        </w:tc>
        <w:tc>
          <w:tcPr>
            <w:tcW w:w="609"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XII</w:t>
            </w:r>
          </w:p>
        </w:tc>
        <w:tc>
          <w:tcPr>
            <w:tcW w:w="609" w:type="dxa"/>
            <w:tcBorders>
              <w:top w:val="single" w:sz="4" w:space="0" w:color="auto"/>
              <w:left w:val="single" w:sz="4" w:space="0" w:color="auto"/>
              <w:bottom w:val="single" w:sz="4" w:space="0" w:color="auto"/>
              <w:right w:val="thinThickSmallGap" w:sz="12" w:space="0" w:color="auto"/>
            </w:tcBorders>
            <w:vAlign w:val="center"/>
          </w:tcPr>
          <w:p w:rsidR="00BD7EA2" w:rsidRPr="00AE5C99" w:rsidRDefault="00BD7EA2" w:rsidP="00AE5C99">
            <w:pPr>
              <w:spacing w:line="240" w:lineRule="auto"/>
              <w:jc w:val="center"/>
              <w:rPr>
                <w:rFonts w:ascii="Arial" w:hAnsi="Arial" w:cs="Arial"/>
                <w:b/>
                <w:noProof/>
                <w:lang w:val="sr-Latn-CS"/>
              </w:rPr>
            </w:pPr>
            <w:r w:rsidRPr="00AE5C99">
              <w:rPr>
                <w:rFonts w:ascii="Arial" w:hAnsi="Arial" w:cs="Arial"/>
                <w:b/>
                <w:noProof/>
                <w:lang w:val="sr-Latn-CS"/>
              </w:rPr>
              <w:t>God.</w:t>
            </w:r>
          </w:p>
        </w:tc>
      </w:tr>
      <w:tr w:rsidR="00BD7EA2" w:rsidRPr="00AE5C99" w:rsidTr="00215017">
        <w:tc>
          <w:tcPr>
            <w:tcW w:w="608" w:type="dxa"/>
            <w:tcBorders>
              <w:top w:val="single" w:sz="4" w:space="0" w:color="auto"/>
              <w:left w:val="thinThickSmallGap" w:sz="12"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Bar</w:t>
            </w:r>
          </w:p>
        </w:tc>
        <w:tc>
          <w:tcPr>
            <w:tcW w:w="608"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8,3</w:t>
            </w:r>
          </w:p>
        </w:tc>
        <w:tc>
          <w:tcPr>
            <w:tcW w:w="608"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8,9</w:t>
            </w:r>
          </w:p>
        </w:tc>
        <w:tc>
          <w:tcPr>
            <w:tcW w:w="608"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10,6</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13,6</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17,7</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21,2</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23,4</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23,1</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20,3</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16,7</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13,1</w:t>
            </w:r>
          </w:p>
        </w:tc>
        <w:tc>
          <w:tcPr>
            <w:tcW w:w="609"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9,8</w:t>
            </w:r>
          </w:p>
        </w:tc>
        <w:tc>
          <w:tcPr>
            <w:tcW w:w="609" w:type="dxa"/>
            <w:tcBorders>
              <w:top w:val="single" w:sz="4" w:space="0" w:color="auto"/>
              <w:left w:val="single" w:sz="4" w:space="0" w:color="auto"/>
              <w:bottom w:val="thinThickSmallGap" w:sz="12" w:space="0" w:color="auto"/>
              <w:right w:val="thinThickSmallGap" w:sz="12" w:space="0" w:color="auto"/>
            </w:tcBorders>
            <w:vAlign w:val="center"/>
          </w:tcPr>
          <w:p w:rsidR="00BD7EA2" w:rsidRPr="00AE5C99" w:rsidRDefault="00BD7EA2" w:rsidP="00AE5C99">
            <w:pPr>
              <w:spacing w:line="240" w:lineRule="auto"/>
              <w:jc w:val="center"/>
              <w:rPr>
                <w:rFonts w:ascii="Arial" w:hAnsi="Arial" w:cs="Arial"/>
                <w:noProof/>
                <w:lang w:val="sr-Latn-CS"/>
              </w:rPr>
            </w:pPr>
            <w:r w:rsidRPr="00AE5C99">
              <w:rPr>
                <w:rFonts w:ascii="Arial" w:hAnsi="Arial" w:cs="Arial"/>
                <w:noProof/>
                <w:lang w:val="sr-Latn-CS"/>
              </w:rPr>
              <w:t>15,6</w:t>
            </w:r>
          </w:p>
        </w:tc>
      </w:tr>
    </w:tbl>
    <w:p w:rsidR="00BD7EA2" w:rsidRPr="00AE5C99" w:rsidRDefault="00BD7EA2" w:rsidP="00AE5C99">
      <w:pPr>
        <w:spacing w:after="0" w:line="240" w:lineRule="auto"/>
        <w:jc w:val="both"/>
        <w:rPr>
          <w:rFonts w:ascii="Arial" w:hAnsi="Arial" w:cs="Arial"/>
          <w:i/>
          <w:noProof/>
          <w:lang w:val="sr-Latn-CS"/>
        </w:rPr>
      </w:pPr>
      <w:r w:rsidRPr="00AE5C99">
        <w:rPr>
          <w:rFonts w:ascii="Arial" w:hAnsi="Arial" w:cs="Arial"/>
          <w:i/>
          <w:noProof/>
          <w:lang w:val="sr-Latn-CS"/>
        </w:rPr>
        <w:t>Prema: Hidrogeologija karsta Crne Gore, M.Radulović, 2000.</w:t>
      </w:r>
    </w:p>
    <w:p w:rsidR="003A33EA" w:rsidRPr="00AE5C99" w:rsidRDefault="003A33EA" w:rsidP="00AE5C99">
      <w:pPr>
        <w:spacing w:after="0" w:line="240" w:lineRule="auto"/>
        <w:ind w:left="3600"/>
        <w:rPr>
          <w:rFonts w:ascii="Arial" w:hAnsi="Arial" w:cs="Arial"/>
          <w:i/>
          <w:noProof/>
          <w:lang w:val="sr-Latn-CS"/>
        </w:rPr>
      </w:pPr>
    </w:p>
    <w:p w:rsidR="00BD7EA2" w:rsidRPr="00AE5C99" w:rsidRDefault="00BD7EA2" w:rsidP="00AE5C99">
      <w:pPr>
        <w:spacing w:after="0" w:line="240" w:lineRule="auto"/>
        <w:jc w:val="both"/>
        <w:rPr>
          <w:rFonts w:ascii="Arial" w:hAnsi="Arial" w:cs="Arial"/>
          <w:noProof/>
          <w:lang w:val="sr-Latn-CS"/>
        </w:rPr>
      </w:pPr>
      <w:r w:rsidRPr="00AE5C99">
        <w:rPr>
          <w:rFonts w:ascii="Arial" w:hAnsi="Arial" w:cs="Arial"/>
          <w:noProof/>
          <w:lang w:val="sr-Latn-CS"/>
        </w:rPr>
        <w:t>Ljetnji period karakterišu visoke temperature vazduha, koje u toku jula i avgusta dostižu i preko 35ºC. Na bazi višegodišnjeg prosjeka, godišnje u priobalnom dijelu Crne Gore je zastupljeno 110 ljetnjih dana sa temperaturom od 25ºC i više. Godišnje je zastupljeno prosječno 29 dana kada maksimalna dnevna temperatura vazduha iznosi preko 30ºC. Na ovom pdručju je prosječno godišnje zastupljeno oko 10 dana sa mrazevima (kada je minimalna dnevna temperatura ispod 0ºC), dok je broj led</w:t>
      </w:r>
      <w:r w:rsidR="005C75B7" w:rsidRPr="00AE5C99">
        <w:rPr>
          <w:rFonts w:ascii="Arial" w:hAnsi="Arial" w:cs="Arial"/>
          <w:noProof/>
          <w:lang w:val="sr-Latn-CS"/>
        </w:rPr>
        <w:t xml:space="preserve">enih dana zanemarljiv (dani sa </w:t>
      </w:r>
      <w:r w:rsidRPr="00AE5C99">
        <w:rPr>
          <w:rFonts w:ascii="Arial" w:hAnsi="Arial" w:cs="Arial"/>
          <w:noProof/>
          <w:lang w:val="sr-Latn-CS"/>
        </w:rPr>
        <w:t>maksimalnom temperaturom ospod 0ºC).</w:t>
      </w:r>
    </w:p>
    <w:p w:rsidR="00B96968" w:rsidRPr="00AE5C99" w:rsidRDefault="00B96968" w:rsidP="00AE5C99">
      <w:pPr>
        <w:spacing w:after="0" w:line="240" w:lineRule="auto"/>
        <w:jc w:val="both"/>
        <w:rPr>
          <w:rFonts w:ascii="Arial" w:hAnsi="Arial" w:cs="Arial"/>
          <w:noProof/>
          <w:lang w:val="sr-Latn-CS"/>
        </w:rPr>
      </w:pPr>
    </w:p>
    <w:p w:rsidR="00BD7EA2" w:rsidRPr="00AE5C99" w:rsidRDefault="00BD7EA2" w:rsidP="00AE5C99">
      <w:pPr>
        <w:spacing w:after="0" w:line="240" w:lineRule="auto"/>
        <w:jc w:val="both"/>
        <w:rPr>
          <w:rFonts w:ascii="Arial" w:hAnsi="Arial" w:cs="Arial"/>
          <w:noProof/>
          <w:lang w:val="sr-Latn-CS"/>
        </w:rPr>
      </w:pPr>
      <w:r w:rsidRPr="00AE5C99">
        <w:rPr>
          <w:rFonts w:ascii="Arial" w:hAnsi="Arial" w:cs="Arial"/>
          <w:noProof/>
          <w:lang w:val="sr-Latn-CS"/>
        </w:rPr>
        <w:t>Klimu područja Bara (kao i cijelog Crnogorskog primorja), karakterišu i sezonske oscilacije u režimu padavina u toku godine.</w:t>
      </w:r>
      <w:r w:rsidR="00454387" w:rsidRPr="00AE5C99">
        <w:rPr>
          <w:rFonts w:ascii="Arial" w:hAnsi="Arial" w:cs="Arial"/>
          <w:noProof/>
          <w:lang w:val="sr-Latn-CS"/>
        </w:rPr>
        <w:t>(Tabela 3.)</w:t>
      </w:r>
    </w:p>
    <w:p w:rsidR="00B96968" w:rsidRPr="00AE5C99" w:rsidRDefault="00B96968" w:rsidP="00AE5C99">
      <w:pPr>
        <w:spacing w:after="0" w:line="240" w:lineRule="auto"/>
        <w:jc w:val="both"/>
        <w:rPr>
          <w:rFonts w:ascii="Arial" w:hAnsi="Arial" w:cs="Arial"/>
          <w:noProof/>
          <w:lang w:val="sr-Latn-CS"/>
        </w:rPr>
      </w:pPr>
    </w:p>
    <w:p w:rsidR="00BD7EA2" w:rsidRPr="00AE5C99" w:rsidRDefault="00BD7EA2" w:rsidP="00AE5C99">
      <w:pPr>
        <w:spacing w:after="0" w:line="240" w:lineRule="auto"/>
        <w:rPr>
          <w:rFonts w:ascii="Arial" w:hAnsi="Arial" w:cs="Arial"/>
          <w:i/>
          <w:noProof/>
          <w:lang w:val="sr-Latn-CS"/>
        </w:rPr>
      </w:pPr>
      <w:r w:rsidRPr="00AE5C99">
        <w:rPr>
          <w:rFonts w:ascii="Arial" w:hAnsi="Arial" w:cs="Arial"/>
          <w:b/>
          <w:i/>
          <w:noProof/>
          <w:lang w:val="sr-Latn-CS"/>
        </w:rPr>
        <w:t xml:space="preserve">Tabela </w:t>
      </w:r>
      <w:r w:rsidR="00454387" w:rsidRPr="00AE5C99">
        <w:rPr>
          <w:rFonts w:ascii="Arial" w:hAnsi="Arial" w:cs="Arial"/>
          <w:b/>
          <w:i/>
          <w:noProof/>
          <w:lang w:val="sr-Latn-CS"/>
        </w:rPr>
        <w:t>3</w:t>
      </w:r>
      <w:r w:rsidRPr="00AE5C99">
        <w:rPr>
          <w:rFonts w:ascii="Arial" w:hAnsi="Arial" w:cs="Arial"/>
          <w:b/>
          <w:i/>
          <w:noProof/>
          <w:lang w:val="sr-Latn-CS"/>
        </w:rPr>
        <w:t xml:space="preserve">: </w:t>
      </w:r>
      <w:r w:rsidRPr="00AE5C99">
        <w:rPr>
          <w:rFonts w:ascii="Arial" w:hAnsi="Arial" w:cs="Arial"/>
          <w:i/>
          <w:noProof/>
          <w:lang w:val="sr-Latn-CS"/>
        </w:rPr>
        <w:t>Srednje mjesečne i godišnje količine padavina (1961.-1990.)</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630"/>
        <w:gridCol w:w="695"/>
        <w:gridCol w:w="713"/>
        <w:gridCol w:w="713"/>
        <w:gridCol w:w="603"/>
        <w:gridCol w:w="603"/>
        <w:gridCol w:w="603"/>
        <w:gridCol w:w="603"/>
        <w:gridCol w:w="713"/>
        <w:gridCol w:w="713"/>
        <w:gridCol w:w="713"/>
        <w:gridCol w:w="713"/>
        <w:gridCol w:w="715"/>
      </w:tblGrid>
      <w:tr w:rsidR="00BD7EA2" w:rsidRPr="00AE5C99" w:rsidTr="00430D05">
        <w:tc>
          <w:tcPr>
            <w:tcW w:w="810" w:type="dxa"/>
            <w:vMerge w:val="restart"/>
            <w:tcBorders>
              <w:top w:val="thinThickSmallGap" w:sz="12" w:space="0" w:color="auto"/>
              <w:left w:val="thinThickSmallGap" w:sz="12"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Mjesto</w:t>
            </w:r>
          </w:p>
        </w:tc>
        <w:tc>
          <w:tcPr>
            <w:tcW w:w="8730" w:type="dxa"/>
            <w:gridSpan w:val="13"/>
            <w:tcBorders>
              <w:top w:val="thinThickSmallGap" w:sz="12" w:space="0" w:color="auto"/>
              <w:left w:val="single" w:sz="4" w:space="0" w:color="auto"/>
              <w:bottom w:val="single" w:sz="4" w:space="0" w:color="auto"/>
              <w:right w:val="thinThickSmallGap" w:sz="12" w:space="0" w:color="auto"/>
            </w:tcBorders>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Srednje mjesečne i godišnje količine padavina (mm)</w:t>
            </w:r>
          </w:p>
        </w:tc>
      </w:tr>
      <w:tr w:rsidR="00BD7EA2" w:rsidRPr="00AE5C99" w:rsidTr="00430D05">
        <w:tc>
          <w:tcPr>
            <w:tcW w:w="810" w:type="dxa"/>
            <w:vMerge/>
            <w:tcBorders>
              <w:top w:val="thinThickSmallGap" w:sz="12" w:space="0" w:color="auto"/>
              <w:left w:val="thinThickSmallGap" w:sz="12" w:space="0" w:color="auto"/>
              <w:bottom w:val="single" w:sz="4" w:space="0" w:color="auto"/>
              <w:right w:val="single" w:sz="4" w:space="0" w:color="auto"/>
            </w:tcBorders>
            <w:vAlign w:val="center"/>
          </w:tcPr>
          <w:p w:rsidR="00BD7EA2" w:rsidRPr="00AE5C99" w:rsidRDefault="00BD7EA2" w:rsidP="00AE5C99">
            <w:pPr>
              <w:spacing w:after="0" w:line="240" w:lineRule="auto"/>
              <w:rPr>
                <w:rFonts w:ascii="Arial" w:hAnsi="Arial" w:cs="Arial"/>
                <w:noProof/>
                <w:lang w:val="sr-Latn-CS"/>
              </w:rPr>
            </w:pPr>
          </w:p>
        </w:tc>
        <w:tc>
          <w:tcPr>
            <w:tcW w:w="630"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I</w:t>
            </w:r>
          </w:p>
        </w:tc>
        <w:tc>
          <w:tcPr>
            <w:tcW w:w="695"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II</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III</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IV</w:t>
            </w:r>
          </w:p>
        </w:tc>
        <w:tc>
          <w:tcPr>
            <w:tcW w:w="60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V</w:t>
            </w:r>
          </w:p>
        </w:tc>
        <w:tc>
          <w:tcPr>
            <w:tcW w:w="60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VI</w:t>
            </w:r>
          </w:p>
        </w:tc>
        <w:tc>
          <w:tcPr>
            <w:tcW w:w="60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VII</w:t>
            </w:r>
          </w:p>
        </w:tc>
        <w:tc>
          <w:tcPr>
            <w:tcW w:w="60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VIII</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IX</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X</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XI</w:t>
            </w:r>
          </w:p>
        </w:tc>
        <w:tc>
          <w:tcPr>
            <w:tcW w:w="713" w:type="dxa"/>
            <w:tcBorders>
              <w:top w:val="single" w:sz="4" w:space="0" w:color="auto"/>
              <w:left w:val="single" w:sz="4" w:space="0" w:color="auto"/>
              <w:bottom w:val="single" w:sz="4" w:space="0" w:color="auto"/>
              <w:right w:val="single" w:sz="4"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XII</w:t>
            </w:r>
          </w:p>
        </w:tc>
        <w:tc>
          <w:tcPr>
            <w:tcW w:w="715" w:type="dxa"/>
            <w:tcBorders>
              <w:top w:val="single" w:sz="4" w:space="0" w:color="auto"/>
              <w:left w:val="single" w:sz="4" w:space="0" w:color="auto"/>
              <w:bottom w:val="single" w:sz="4" w:space="0" w:color="auto"/>
              <w:right w:val="thinThickSmallGap" w:sz="12" w:space="0" w:color="auto"/>
            </w:tcBorders>
            <w:vAlign w:val="center"/>
          </w:tcPr>
          <w:p w:rsidR="00BD7EA2" w:rsidRPr="00AE5C99" w:rsidRDefault="00BD7EA2" w:rsidP="00AE5C99">
            <w:pPr>
              <w:spacing w:after="0" w:line="240" w:lineRule="auto"/>
              <w:jc w:val="center"/>
              <w:rPr>
                <w:rFonts w:ascii="Arial" w:hAnsi="Arial" w:cs="Arial"/>
                <w:b/>
                <w:noProof/>
                <w:lang w:val="sr-Latn-CS"/>
              </w:rPr>
            </w:pPr>
            <w:r w:rsidRPr="00AE5C99">
              <w:rPr>
                <w:rFonts w:ascii="Arial" w:hAnsi="Arial" w:cs="Arial"/>
                <w:b/>
                <w:noProof/>
                <w:lang w:val="sr-Latn-CS"/>
              </w:rPr>
              <w:t>God.</w:t>
            </w:r>
          </w:p>
        </w:tc>
      </w:tr>
      <w:tr w:rsidR="00BD7EA2" w:rsidRPr="00AE5C99" w:rsidTr="00430D05">
        <w:tc>
          <w:tcPr>
            <w:tcW w:w="810" w:type="dxa"/>
            <w:tcBorders>
              <w:top w:val="single" w:sz="4" w:space="0" w:color="auto"/>
              <w:left w:val="thinThickSmallGap" w:sz="12"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Bar</w:t>
            </w:r>
          </w:p>
        </w:tc>
        <w:tc>
          <w:tcPr>
            <w:tcW w:w="630"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155,5</w:t>
            </w:r>
          </w:p>
        </w:tc>
        <w:tc>
          <w:tcPr>
            <w:tcW w:w="695"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151,8</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129,2</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126,4</w:t>
            </w:r>
          </w:p>
        </w:tc>
        <w:tc>
          <w:tcPr>
            <w:tcW w:w="60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85,9</w:t>
            </w:r>
          </w:p>
        </w:tc>
        <w:tc>
          <w:tcPr>
            <w:tcW w:w="60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59,0</w:t>
            </w:r>
          </w:p>
        </w:tc>
        <w:tc>
          <w:tcPr>
            <w:tcW w:w="60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36,8</w:t>
            </w:r>
          </w:p>
        </w:tc>
        <w:tc>
          <w:tcPr>
            <w:tcW w:w="60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53,0</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111,2</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139,6</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184,5</w:t>
            </w:r>
          </w:p>
        </w:tc>
        <w:tc>
          <w:tcPr>
            <w:tcW w:w="713" w:type="dxa"/>
            <w:tcBorders>
              <w:top w:val="single" w:sz="4" w:space="0" w:color="auto"/>
              <w:left w:val="single" w:sz="4" w:space="0" w:color="auto"/>
              <w:bottom w:val="thinThickSmallGap" w:sz="12" w:space="0" w:color="auto"/>
              <w:right w:val="single" w:sz="4"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170,0</w:t>
            </w:r>
          </w:p>
        </w:tc>
        <w:tc>
          <w:tcPr>
            <w:tcW w:w="715" w:type="dxa"/>
            <w:tcBorders>
              <w:top w:val="single" w:sz="4" w:space="0" w:color="auto"/>
              <w:left w:val="single" w:sz="4" w:space="0" w:color="auto"/>
              <w:bottom w:val="thinThickSmallGap" w:sz="12" w:space="0" w:color="auto"/>
              <w:right w:val="thinThickSmallGap" w:sz="12" w:space="0" w:color="auto"/>
            </w:tcBorders>
            <w:vAlign w:val="center"/>
          </w:tcPr>
          <w:p w:rsidR="00BD7EA2" w:rsidRPr="00AE5C99" w:rsidRDefault="00BD7EA2" w:rsidP="00AE5C99">
            <w:pPr>
              <w:spacing w:after="0" w:line="240" w:lineRule="auto"/>
              <w:jc w:val="center"/>
              <w:rPr>
                <w:rFonts w:ascii="Arial" w:hAnsi="Arial" w:cs="Arial"/>
                <w:noProof/>
                <w:lang w:val="sr-Latn-CS"/>
              </w:rPr>
            </w:pPr>
            <w:r w:rsidRPr="00AE5C99">
              <w:rPr>
                <w:rFonts w:ascii="Arial" w:hAnsi="Arial" w:cs="Arial"/>
                <w:noProof/>
                <w:lang w:val="sr-Latn-CS"/>
              </w:rPr>
              <w:t>1402,9</w:t>
            </w:r>
          </w:p>
        </w:tc>
      </w:tr>
    </w:tbl>
    <w:p w:rsidR="00BD7EA2" w:rsidRPr="00AE5C99" w:rsidRDefault="00BD7EA2" w:rsidP="00AE5C99">
      <w:pPr>
        <w:spacing w:after="0" w:line="240" w:lineRule="auto"/>
        <w:rPr>
          <w:rFonts w:ascii="Arial" w:hAnsi="Arial" w:cs="Arial"/>
          <w:i/>
          <w:noProof/>
          <w:lang w:val="sr-Latn-CS"/>
        </w:rPr>
      </w:pPr>
      <w:r w:rsidRPr="00AE5C99">
        <w:rPr>
          <w:rFonts w:ascii="Arial" w:hAnsi="Arial" w:cs="Arial"/>
          <w:i/>
          <w:noProof/>
          <w:lang w:val="sr-Latn-CS"/>
        </w:rPr>
        <w:t xml:space="preserve"> Prema: Hidrogeologija karsta Crne Gore, M.Radulović, 2000.</w:t>
      </w:r>
    </w:p>
    <w:p w:rsidR="00B96968" w:rsidRPr="00AE5C99" w:rsidRDefault="00B96968" w:rsidP="00AE5C99">
      <w:pPr>
        <w:spacing w:after="0" w:line="240" w:lineRule="auto"/>
        <w:jc w:val="right"/>
        <w:rPr>
          <w:rFonts w:ascii="Arial" w:hAnsi="Arial" w:cs="Arial"/>
          <w:i/>
          <w:noProof/>
          <w:lang w:val="sr-Latn-CS"/>
        </w:rPr>
      </w:pPr>
    </w:p>
    <w:p w:rsidR="00BD7EA2" w:rsidRPr="00AE5C99" w:rsidRDefault="00BD7EA2" w:rsidP="00AE5C99">
      <w:pPr>
        <w:spacing w:after="0" w:line="240" w:lineRule="auto"/>
        <w:jc w:val="both"/>
        <w:rPr>
          <w:rFonts w:ascii="Arial" w:hAnsi="Arial" w:cs="Arial"/>
          <w:noProof/>
          <w:lang w:val="sr-Latn-CS"/>
        </w:rPr>
      </w:pPr>
      <w:r w:rsidRPr="00AE5C99">
        <w:rPr>
          <w:rFonts w:ascii="Arial" w:hAnsi="Arial" w:cs="Arial"/>
          <w:noProof/>
          <w:lang w:val="sr-Latn-CS"/>
        </w:rPr>
        <w:t>Karakteristično je da u primorskom dijelu Crne Gore, u hladnijoj polovini godine padne i do tri četvrtine (75</w:t>
      </w:r>
      <w:r w:rsidR="00B96968" w:rsidRPr="00AE5C99">
        <w:rPr>
          <w:rFonts w:ascii="Arial" w:hAnsi="Arial" w:cs="Arial"/>
          <w:noProof/>
          <w:lang w:val="sr-Latn-CS"/>
        </w:rPr>
        <w:t>%) količine godišnjih padavina.</w:t>
      </w:r>
      <w:r w:rsidRPr="00AE5C99">
        <w:rPr>
          <w:rFonts w:ascii="Arial" w:hAnsi="Arial" w:cs="Arial"/>
          <w:noProof/>
          <w:lang w:val="sr-Latn-CS"/>
        </w:rPr>
        <w:t xml:space="preserve"> Sniježne padavine su sasvim rijetke i beznačajne.</w:t>
      </w:r>
    </w:p>
    <w:p w:rsidR="00B96968" w:rsidRPr="00AE5C99" w:rsidRDefault="00B96968" w:rsidP="00AE5C99">
      <w:pPr>
        <w:spacing w:after="0" w:line="240" w:lineRule="auto"/>
        <w:jc w:val="both"/>
        <w:rPr>
          <w:rFonts w:ascii="Arial" w:hAnsi="Arial" w:cs="Arial"/>
          <w:noProof/>
          <w:lang w:val="sr-Latn-CS"/>
        </w:rPr>
      </w:pPr>
    </w:p>
    <w:p w:rsidR="00BD7EA2" w:rsidRPr="00AE5C99" w:rsidRDefault="00BD7EA2" w:rsidP="00AE5C99">
      <w:pPr>
        <w:spacing w:after="0" w:line="240" w:lineRule="auto"/>
        <w:jc w:val="both"/>
        <w:rPr>
          <w:rFonts w:ascii="Arial" w:hAnsi="Arial" w:cs="Arial"/>
          <w:noProof/>
          <w:lang w:val="sr-Latn-CS"/>
        </w:rPr>
      </w:pPr>
      <w:r w:rsidRPr="00AE5C99">
        <w:rPr>
          <w:rFonts w:ascii="Arial" w:hAnsi="Arial" w:cs="Arial"/>
          <w:noProof/>
          <w:lang w:val="sr-Latn-CS"/>
        </w:rPr>
        <w:t>Na području Bara, dominantni su vjetrovi sjeveroistočnog smjera, čije učešće iznosi 28,6</w:t>
      </w:r>
      <w:r w:rsidR="00B96968" w:rsidRPr="00AE5C99">
        <w:rPr>
          <w:rFonts w:ascii="Arial" w:hAnsi="Arial" w:cs="Arial"/>
          <w:noProof/>
          <w:lang w:val="sr-Latn-CS"/>
        </w:rPr>
        <w:t xml:space="preserve"> </w:t>
      </w:r>
      <w:r w:rsidRPr="00AE5C99">
        <w:rPr>
          <w:rFonts w:ascii="Arial" w:hAnsi="Arial" w:cs="Arial"/>
          <w:noProof/>
          <w:lang w:val="sr-Latn-CS"/>
        </w:rPr>
        <w:t>%, pri čemu preovlađavaju slabiji vjetrovi, jačine 1,5 do 2,5 bofora. Prosječno godišnje učešće tišine (period bez vjetra) u Baru iznosi 23,2</w:t>
      </w:r>
      <w:r w:rsidR="00B96968" w:rsidRPr="00AE5C99">
        <w:rPr>
          <w:rFonts w:ascii="Arial" w:hAnsi="Arial" w:cs="Arial"/>
          <w:noProof/>
          <w:lang w:val="sr-Latn-CS"/>
        </w:rPr>
        <w:t xml:space="preserve"> </w:t>
      </w:r>
      <w:r w:rsidRPr="00AE5C99">
        <w:rPr>
          <w:rFonts w:ascii="Arial" w:hAnsi="Arial" w:cs="Arial"/>
          <w:noProof/>
          <w:lang w:val="sr-Latn-CS"/>
        </w:rPr>
        <w:t>%.</w:t>
      </w:r>
    </w:p>
    <w:p w:rsidR="00D021C0" w:rsidRPr="00AE5C99" w:rsidRDefault="00D021C0" w:rsidP="00AE5C99">
      <w:pPr>
        <w:pStyle w:val="BodyText"/>
        <w:spacing w:after="0" w:line="240" w:lineRule="auto"/>
        <w:jc w:val="both"/>
        <w:rPr>
          <w:rFonts w:ascii="Arial" w:hAnsi="Arial" w:cs="Arial"/>
          <w:noProof/>
          <w:lang w:val="sr-Latn-CS"/>
        </w:rPr>
      </w:pPr>
    </w:p>
    <w:p w:rsidR="00925256" w:rsidRPr="00AE5C99" w:rsidRDefault="002E4676" w:rsidP="00AE5C99">
      <w:pPr>
        <w:pStyle w:val="Heading2"/>
        <w:numPr>
          <w:ilvl w:val="1"/>
          <w:numId w:val="18"/>
        </w:numPr>
        <w:spacing w:before="0" w:after="0" w:line="240" w:lineRule="auto"/>
        <w:rPr>
          <w:b/>
          <w:noProof/>
          <w:lang w:val="sr-Latn-CS"/>
        </w:rPr>
      </w:pPr>
      <w:r w:rsidRPr="00AE5C99">
        <w:rPr>
          <w:b/>
          <w:noProof/>
          <w:lang w:val="sr-Latn-CS"/>
        </w:rPr>
        <w:t>Podaci o izvršenim geološkim istraživanjima, rezervama i kvalitetu mineralne sirovine</w:t>
      </w:r>
    </w:p>
    <w:p w:rsidR="00D021C0" w:rsidRPr="00AE5C99" w:rsidRDefault="00D021C0" w:rsidP="00AE5C99">
      <w:pPr>
        <w:spacing w:after="0" w:line="240" w:lineRule="auto"/>
        <w:jc w:val="both"/>
        <w:rPr>
          <w:rFonts w:ascii="Arial" w:hAnsi="Arial" w:cs="Arial"/>
          <w:i/>
          <w:noProof/>
          <w:u w:val="single"/>
          <w:lang w:val="sr-Latn-CS"/>
        </w:rPr>
      </w:pPr>
    </w:p>
    <w:p w:rsidR="00925256" w:rsidRPr="00AE5C99" w:rsidRDefault="00925256" w:rsidP="00AE5C99">
      <w:pPr>
        <w:spacing w:after="0" w:line="240" w:lineRule="auto"/>
        <w:jc w:val="both"/>
        <w:rPr>
          <w:rFonts w:ascii="Arial" w:hAnsi="Arial" w:cs="Arial"/>
          <w:i/>
          <w:noProof/>
          <w:u w:val="single"/>
          <w:lang w:val="sr-Latn-CS"/>
        </w:rPr>
      </w:pPr>
      <w:r w:rsidRPr="00AE5C99">
        <w:rPr>
          <w:rFonts w:ascii="Arial" w:hAnsi="Arial" w:cs="Arial"/>
          <w:i/>
          <w:noProof/>
          <w:u w:val="single"/>
          <w:lang w:val="sr-Latn-CS"/>
        </w:rPr>
        <w:t>Geološke karakteristike</w:t>
      </w:r>
    </w:p>
    <w:p w:rsidR="00D021C0" w:rsidRPr="00AE5C99" w:rsidRDefault="00D021C0" w:rsidP="00AE5C99">
      <w:pPr>
        <w:spacing w:after="0" w:line="240" w:lineRule="auto"/>
        <w:jc w:val="both"/>
        <w:rPr>
          <w:rFonts w:ascii="Arial" w:hAnsi="Arial" w:cs="Arial"/>
          <w:i/>
          <w:noProof/>
          <w:u w:val="single"/>
          <w:lang w:val="sr-Latn-CS"/>
        </w:rPr>
      </w:pPr>
    </w:p>
    <w:p w:rsidR="00F6499D" w:rsidRPr="00AE5C99" w:rsidRDefault="00F6499D" w:rsidP="00AE5C99">
      <w:pPr>
        <w:spacing w:after="0" w:line="240" w:lineRule="auto"/>
        <w:jc w:val="both"/>
        <w:rPr>
          <w:rFonts w:ascii="Arial" w:hAnsi="Arial" w:cs="Arial"/>
          <w:b/>
          <w:i/>
          <w:noProof/>
          <w:lang w:val="sr-Latn-CS"/>
        </w:rPr>
      </w:pPr>
      <w:r w:rsidRPr="00AE5C99">
        <w:rPr>
          <w:rFonts w:ascii="Arial" w:hAnsi="Arial" w:cs="Arial"/>
          <w:noProof/>
          <w:lang w:val="sr-Latn-CS"/>
        </w:rPr>
        <w:t xml:space="preserve">Ležište tehničko-građevinskog kamena „Velji Zabio“, se nalazi na sjeveroistočnom krilu antiklinale Volujica – Šasko brdo, koje izgrađuju sedimenti gornje krede tj. </w:t>
      </w:r>
      <w:r w:rsidRPr="00AE5C99">
        <w:rPr>
          <w:rFonts w:ascii="Arial" w:hAnsi="Arial" w:cs="Arial"/>
          <w:b/>
          <w:i/>
          <w:noProof/>
          <w:lang w:val="sr-Latn-CS"/>
        </w:rPr>
        <w:t>santon – kampana (K</w:t>
      </w:r>
      <w:r w:rsidRPr="00AE5C99">
        <w:rPr>
          <w:rFonts w:ascii="Arial" w:hAnsi="Arial" w:cs="Arial"/>
          <w:b/>
          <w:i/>
          <w:noProof/>
          <w:vertAlign w:val="subscript"/>
          <w:lang w:val="sr-Latn-CS"/>
        </w:rPr>
        <w:t>2</w:t>
      </w:r>
      <w:r w:rsidRPr="00AE5C99">
        <w:rPr>
          <w:rFonts w:ascii="Arial" w:hAnsi="Arial" w:cs="Arial"/>
          <w:b/>
          <w:i/>
          <w:noProof/>
          <w:vertAlign w:val="superscript"/>
          <w:lang w:val="sr-Latn-CS"/>
        </w:rPr>
        <w:t>4,5</w:t>
      </w:r>
      <w:r w:rsidRPr="00AE5C99">
        <w:rPr>
          <w:rFonts w:ascii="Arial" w:hAnsi="Arial" w:cs="Arial"/>
          <w:b/>
          <w:i/>
          <w:noProof/>
          <w:lang w:val="sr-Latn-CS"/>
        </w:rPr>
        <w:t>).</w:t>
      </w:r>
      <w:r w:rsidRPr="00AE5C99">
        <w:rPr>
          <w:rFonts w:ascii="Arial" w:hAnsi="Arial" w:cs="Arial"/>
          <w:noProof/>
          <w:lang w:val="sr-Latn-CS"/>
        </w:rPr>
        <w:t xml:space="preserve"> Pored sedimenata gornje krede, na sjeveroistočnom obodu ležišta su zastupljeni i sedimenti </w:t>
      </w:r>
      <w:r w:rsidRPr="00AE5C99">
        <w:rPr>
          <w:rFonts w:ascii="Arial" w:hAnsi="Arial" w:cs="Arial"/>
          <w:b/>
          <w:i/>
          <w:noProof/>
          <w:lang w:val="sr-Latn-CS"/>
        </w:rPr>
        <w:t>kvartara (Q).</w:t>
      </w:r>
    </w:p>
    <w:p w:rsidR="00B96968" w:rsidRPr="00AE5C99" w:rsidRDefault="00B96968"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 xml:space="preserve">Sedimenti </w:t>
      </w:r>
      <w:r w:rsidRPr="00AE5C99">
        <w:rPr>
          <w:rFonts w:ascii="Arial" w:hAnsi="Arial" w:cs="Arial"/>
          <w:b/>
          <w:i/>
          <w:noProof/>
          <w:lang w:val="sr-Latn-CS"/>
        </w:rPr>
        <w:t>santon – kampana (K</w:t>
      </w:r>
      <w:r w:rsidRPr="00AE5C99">
        <w:rPr>
          <w:rFonts w:ascii="Arial" w:hAnsi="Arial" w:cs="Arial"/>
          <w:b/>
          <w:i/>
          <w:noProof/>
          <w:vertAlign w:val="subscript"/>
          <w:lang w:val="sr-Latn-CS"/>
        </w:rPr>
        <w:t>2</w:t>
      </w:r>
      <w:r w:rsidRPr="00AE5C99">
        <w:rPr>
          <w:rFonts w:ascii="Arial" w:hAnsi="Arial" w:cs="Arial"/>
          <w:b/>
          <w:i/>
          <w:noProof/>
          <w:vertAlign w:val="superscript"/>
          <w:lang w:val="sr-Latn-CS"/>
        </w:rPr>
        <w:t>4,5</w:t>
      </w:r>
      <w:r w:rsidRPr="00AE5C99">
        <w:rPr>
          <w:rFonts w:ascii="Arial" w:hAnsi="Arial" w:cs="Arial"/>
          <w:b/>
          <w:i/>
          <w:noProof/>
          <w:lang w:val="sr-Latn-CS"/>
        </w:rPr>
        <w:t xml:space="preserve">), </w:t>
      </w:r>
      <w:r w:rsidRPr="00AE5C99">
        <w:rPr>
          <w:rFonts w:ascii="Arial" w:hAnsi="Arial" w:cs="Arial"/>
          <w:noProof/>
          <w:lang w:val="sr-Latn-CS"/>
        </w:rPr>
        <w:t>predstavljeni su slojevitim, debeloslojevitim do bankovitim, a na visočijim kotama mjestimično i masivnim krečnjacima, koji su djelimično brečizirani, svijetlosmeđe, smeđe do tamnosmeđe boje. Utvrđeno je da ovo ležište izgrađuju dva paketa santon – kampana.</w:t>
      </w:r>
    </w:p>
    <w:p w:rsidR="00B96968" w:rsidRPr="00AE5C99" w:rsidRDefault="00B96968"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 xml:space="preserve">Prvi paket sedimenata </w:t>
      </w:r>
      <w:r w:rsidRPr="00AE5C99">
        <w:rPr>
          <w:rFonts w:ascii="Arial" w:hAnsi="Arial" w:cs="Arial"/>
          <w:b/>
          <w:noProof/>
          <w:lang w:val="sr-Latn-CS"/>
        </w:rPr>
        <w:t>(</w:t>
      </w:r>
      <w:r w:rsidRPr="00AE5C99">
        <w:rPr>
          <w:rFonts w:ascii="Arial" w:hAnsi="Arial" w:cs="Arial"/>
          <w:b/>
          <w:noProof/>
          <w:vertAlign w:val="superscript"/>
          <w:lang w:val="sr-Latn-CS"/>
        </w:rPr>
        <w:t>1</w:t>
      </w:r>
      <w:r w:rsidRPr="00AE5C99">
        <w:rPr>
          <w:rFonts w:ascii="Arial" w:hAnsi="Arial" w:cs="Arial"/>
          <w:b/>
          <w:i/>
          <w:noProof/>
          <w:lang w:val="sr-Latn-CS"/>
        </w:rPr>
        <w:t>K</w:t>
      </w:r>
      <w:r w:rsidRPr="00AE5C99">
        <w:rPr>
          <w:rFonts w:ascii="Arial" w:hAnsi="Arial" w:cs="Arial"/>
          <w:b/>
          <w:i/>
          <w:noProof/>
          <w:vertAlign w:val="subscript"/>
          <w:lang w:val="sr-Latn-CS"/>
        </w:rPr>
        <w:t>2</w:t>
      </w:r>
      <w:r w:rsidRPr="00AE5C99">
        <w:rPr>
          <w:rFonts w:ascii="Arial" w:hAnsi="Arial" w:cs="Arial"/>
          <w:b/>
          <w:i/>
          <w:noProof/>
          <w:vertAlign w:val="superscript"/>
          <w:lang w:val="sr-Latn-CS"/>
        </w:rPr>
        <w:t>4,5</w:t>
      </w:r>
      <w:r w:rsidRPr="00AE5C99">
        <w:rPr>
          <w:rFonts w:ascii="Arial" w:hAnsi="Arial" w:cs="Arial"/>
          <w:b/>
          <w:i/>
          <w:noProof/>
          <w:lang w:val="sr-Latn-CS"/>
        </w:rPr>
        <w:t xml:space="preserve">), </w:t>
      </w:r>
      <w:r w:rsidRPr="00AE5C99">
        <w:rPr>
          <w:rFonts w:ascii="Arial" w:hAnsi="Arial" w:cs="Arial"/>
          <w:noProof/>
          <w:lang w:val="sr-Latn-CS"/>
        </w:rPr>
        <w:t xml:space="preserve">izgrađuju smeđi, tamnosmeđi, slojeviti do bankoviti, rijetko i masivni krečnjaci, strukturnog tipa W, W-P i P, sa čestim bentonskim foranimiferama, </w:t>
      </w:r>
      <w:r w:rsidRPr="00AE5C99">
        <w:rPr>
          <w:rFonts w:ascii="Arial" w:hAnsi="Arial" w:cs="Arial"/>
          <w:noProof/>
          <w:lang w:val="sr-Latn-CS"/>
        </w:rPr>
        <w:lastRenderedPageBreak/>
        <w:t>aeolisakusima i kršem rudista. U ovim krečnjacima se javljaju i partije slabo cementovanih krečnjačkih breča.</w:t>
      </w:r>
    </w:p>
    <w:p w:rsidR="00B96968" w:rsidRPr="00AE5C99" w:rsidRDefault="00B96968"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 xml:space="preserve">Drugi paket sedimenata </w:t>
      </w:r>
      <w:r w:rsidRPr="00AE5C99">
        <w:rPr>
          <w:rFonts w:ascii="Arial" w:hAnsi="Arial" w:cs="Arial"/>
          <w:b/>
          <w:noProof/>
          <w:lang w:val="sr-Latn-CS"/>
        </w:rPr>
        <w:t>(</w:t>
      </w:r>
      <w:r w:rsidRPr="00AE5C99">
        <w:rPr>
          <w:rFonts w:ascii="Arial" w:hAnsi="Arial" w:cs="Arial"/>
          <w:b/>
          <w:noProof/>
          <w:vertAlign w:val="superscript"/>
          <w:lang w:val="sr-Latn-CS"/>
        </w:rPr>
        <w:t>2</w:t>
      </w:r>
      <w:r w:rsidRPr="00AE5C99">
        <w:rPr>
          <w:rFonts w:ascii="Arial" w:hAnsi="Arial" w:cs="Arial"/>
          <w:b/>
          <w:i/>
          <w:noProof/>
          <w:lang w:val="sr-Latn-CS"/>
        </w:rPr>
        <w:t>K</w:t>
      </w:r>
      <w:r w:rsidRPr="00AE5C99">
        <w:rPr>
          <w:rFonts w:ascii="Arial" w:hAnsi="Arial" w:cs="Arial"/>
          <w:b/>
          <w:i/>
          <w:noProof/>
          <w:vertAlign w:val="subscript"/>
          <w:lang w:val="sr-Latn-CS"/>
        </w:rPr>
        <w:t>2</w:t>
      </w:r>
      <w:r w:rsidRPr="00AE5C99">
        <w:rPr>
          <w:rFonts w:ascii="Arial" w:hAnsi="Arial" w:cs="Arial"/>
          <w:b/>
          <w:i/>
          <w:noProof/>
          <w:vertAlign w:val="superscript"/>
          <w:lang w:val="sr-Latn-CS"/>
        </w:rPr>
        <w:t>4,5</w:t>
      </w:r>
      <w:r w:rsidRPr="00AE5C99">
        <w:rPr>
          <w:rFonts w:ascii="Arial" w:hAnsi="Arial" w:cs="Arial"/>
          <w:b/>
          <w:i/>
          <w:noProof/>
          <w:lang w:val="sr-Latn-CS"/>
        </w:rPr>
        <w:t>),</w:t>
      </w:r>
      <w:r w:rsidRPr="00AE5C99">
        <w:rPr>
          <w:rFonts w:ascii="Arial" w:hAnsi="Arial" w:cs="Arial"/>
          <w:noProof/>
          <w:lang w:val="sr-Latn-CS"/>
        </w:rPr>
        <w:t xml:space="preserve"> je predstavljen slojevitim i debeloslojevitim, rijetko bankovitim, smeđim do tamnosmeđim krečnjacima, strukturnog tipa W, W-P i P, sa čestim bentonskim foranimiferama, aeolisakusima i rudistima, koji se javljaju i u vidu rudistnih lumakela i kokina.</w:t>
      </w:r>
    </w:p>
    <w:p w:rsidR="00B96968" w:rsidRPr="00AE5C99" w:rsidRDefault="00B96968"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Od tvorevina kvartara (Q), zastupljena je crvenica (terra rossa), koja je zastupljena na sjeveroistočnom obodu Volujice, van kontura ležišta.</w:t>
      </w:r>
    </w:p>
    <w:p w:rsidR="00B96968" w:rsidRPr="00AE5C99" w:rsidRDefault="00B96968" w:rsidP="00AE5C99">
      <w:pPr>
        <w:spacing w:after="0" w:line="240" w:lineRule="auto"/>
        <w:jc w:val="both"/>
        <w:rPr>
          <w:rFonts w:ascii="Arial" w:hAnsi="Arial" w:cs="Arial"/>
          <w:noProof/>
          <w:lang w:val="sr-Latn-CS"/>
        </w:rPr>
      </w:pPr>
    </w:p>
    <w:p w:rsidR="00F6499D" w:rsidRPr="00AE5C99" w:rsidRDefault="00F6499D" w:rsidP="00AE5C99">
      <w:pPr>
        <w:spacing w:after="0" w:line="240" w:lineRule="auto"/>
        <w:jc w:val="both"/>
        <w:rPr>
          <w:rFonts w:ascii="Arial" w:hAnsi="Arial" w:cs="Arial"/>
          <w:noProof/>
          <w:lang w:val="sr-Latn-CS"/>
        </w:rPr>
      </w:pPr>
      <w:r w:rsidRPr="00AE5C99">
        <w:rPr>
          <w:rFonts w:ascii="Arial" w:hAnsi="Arial" w:cs="Arial"/>
          <w:noProof/>
          <w:lang w:val="sr-Latn-CS"/>
        </w:rPr>
        <w:t>U geotektonskom pogledu ležišt</w:t>
      </w:r>
      <w:r w:rsidR="00B96968" w:rsidRPr="00AE5C99">
        <w:rPr>
          <w:rFonts w:ascii="Arial" w:hAnsi="Arial" w:cs="Arial"/>
          <w:noProof/>
          <w:lang w:val="sr-Latn-CS"/>
        </w:rPr>
        <w:t>e tehničko-građevinskog kamena „</w:t>
      </w:r>
      <w:r w:rsidRPr="00AE5C99">
        <w:rPr>
          <w:rFonts w:ascii="Arial" w:hAnsi="Arial" w:cs="Arial"/>
          <w:noProof/>
          <w:lang w:val="sr-Latn-CS"/>
        </w:rPr>
        <w:t>Velji Zabio” koje izgrađuju već opisani karbonatni sedimenti gornjokredne starosti pripada Jadransko-jonskoj zoni.</w:t>
      </w:r>
    </w:p>
    <w:p w:rsidR="00B96968" w:rsidRPr="00AE5C99" w:rsidRDefault="00B96968" w:rsidP="00AE5C99">
      <w:pPr>
        <w:spacing w:after="0" w:line="240" w:lineRule="auto"/>
        <w:jc w:val="both"/>
        <w:rPr>
          <w:rFonts w:ascii="Arial" w:hAnsi="Arial" w:cs="Arial"/>
          <w:noProof/>
          <w:lang w:val="sr-Latn-CS"/>
        </w:rPr>
      </w:pPr>
    </w:p>
    <w:p w:rsidR="00F6499D" w:rsidRPr="00AE5C99" w:rsidRDefault="00925256" w:rsidP="00AE5C99">
      <w:pPr>
        <w:spacing w:after="0" w:line="240" w:lineRule="auto"/>
        <w:jc w:val="both"/>
        <w:rPr>
          <w:rFonts w:ascii="Arial" w:hAnsi="Arial" w:cs="Arial"/>
          <w:i/>
          <w:noProof/>
          <w:u w:val="single"/>
          <w:lang w:val="sr-Latn-CS"/>
        </w:rPr>
      </w:pPr>
      <w:r w:rsidRPr="00AE5C99">
        <w:rPr>
          <w:rFonts w:ascii="Arial" w:hAnsi="Arial" w:cs="Arial"/>
          <w:i/>
          <w:noProof/>
          <w:u w:val="single"/>
          <w:lang w:val="sr-Latn-CS"/>
        </w:rPr>
        <w:t>Rezerve mineralne sirovine</w:t>
      </w:r>
    </w:p>
    <w:p w:rsidR="00F6499D" w:rsidRPr="00AE5C99" w:rsidRDefault="00F6499D" w:rsidP="00AE5C99">
      <w:pPr>
        <w:spacing w:after="0" w:line="240" w:lineRule="auto"/>
        <w:jc w:val="both"/>
        <w:rPr>
          <w:rFonts w:ascii="Arial" w:hAnsi="Arial" w:cs="Arial"/>
          <w:i/>
          <w:noProof/>
          <w:u w:val="single"/>
          <w:lang w:val="sr-Latn-CS"/>
        </w:rPr>
      </w:pPr>
    </w:p>
    <w:p w:rsidR="00F6499D" w:rsidRPr="00AE5C99" w:rsidRDefault="00F6499D"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Na osnovu analize raspoložive dokumentacije o ležištu tehničko-građevinskog</w:t>
      </w:r>
      <w:r w:rsidR="00B96968" w:rsidRPr="00AE5C99">
        <w:rPr>
          <w:rFonts w:ascii="Arial" w:hAnsi="Arial" w:cs="Arial"/>
          <w:noProof/>
          <w:lang w:val="sr-Latn-CS"/>
        </w:rPr>
        <w:t xml:space="preserve"> kamena „</w:t>
      </w:r>
      <w:r w:rsidRPr="00AE5C99">
        <w:rPr>
          <w:rFonts w:ascii="Arial" w:hAnsi="Arial" w:cs="Arial"/>
          <w:noProof/>
          <w:lang w:val="sr-Latn-CS"/>
        </w:rPr>
        <w:t>Velji Zabio“, možemo zaključiti da su na predmetnom ležištu vršena detaljna geološka istraživanja tehničko-građevinskog kamena u više navrata, tako da postoje podaci o rezervama i kvalitetu mineralne sirovine, kao i mogućnosti njegove upotrebe</w:t>
      </w:r>
      <w:r w:rsidR="00952E66" w:rsidRPr="00AE5C99">
        <w:rPr>
          <w:rFonts w:ascii="Arial" w:hAnsi="Arial" w:cs="Arial"/>
          <w:noProof/>
          <w:lang w:val="sr-Latn-CS"/>
        </w:rPr>
        <w:t>.</w:t>
      </w:r>
    </w:p>
    <w:p w:rsidR="00F6499D" w:rsidRPr="00AE5C99" w:rsidRDefault="00F6499D" w:rsidP="00AE5C99">
      <w:pPr>
        <w:pStyle w:val="BodyText"/>
        <w:spacing w:after="0" w:line="240" w:lineRule="auto"/>
        <w:jc w:val="both"/>
        <w:rPr>
          <w:rFonts w:ascii="Arial" w:hAnsi="Arial" w:cs="Arial"/>
          <w:noProof/>
          <w:lang w:val="sr-Latn-CS"/>
        </w:rPr>
      </w:pPr>
    </w:p>
    <w:p w:rsidR="00454387" w:rsidRPr="00AE5C99" w:rsidRDefault="00454387"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U toku 2011. godine, izvedena su </w:t>
      </w:r>
      <w:r w:rsidR="00B96968" w:rsidRPr="00AE5C99">
        <w:rPr>
          <w:rFonts w:ascii="Arial" w:hAnsi="Arial" w:cs="Arial"/>
          <w:noProof/>
          <w:lang w:val="sr-Latn-CS"/>
        </w:rPr>
        <w:t>detaljna geološka istraživanja i</w:t>
      </w:r>
      <w:r w:rsidRPr="00AE5C99">
        <w:rPr>
          <w:rFonts w:ascii="Arial" w:hAnsi="Arial" w:cs="Arial"/>
          <w:noProof/>
          <w:lang w:val="sr-Latn-CS"/>
        </w:rPr>
        <w:t xml:space="preserve"> urađen Elaborat o klasifikaciji, kategorizaciji i proračunu rezervi tehnič</w:t>
      </w:r>
      <w:r w:rsidR="00B96968" w:rsidRPr="00AE5C99">
        <w:rPr>
          <w:rFonts w:ascii="Arial" w:hAnsi="Arial" w:cs="Arial"/>
          <w:noProof/>
          <w:lang w:val="sr-Latn-CS"/>
        </w:rPr>
        <w:t>ko-građevinskog kamena ležišta „</w:t>
      </w:r>
      <w:r w:rsidRPr="00AE5C99">
        <w:rPr>
          <w:rFonts w:ascii="Arial" w:hAnsi="Arial" w:cs="Arial"/>
          <w:noProof/>
          <w:lang w:val="sr-Latn-CS"/>
        </w:rPr>
        <w:t>Velji Zabio” kod Bara, sa stanjem rezervi 31.12.2010. godine. Predm</w:t>
      </w:r>
      <w:r w:rsidR="00B96968" w:rsidRPr="00AE5C99">
        <w:rPr>
          <w:rFonts w:ascii="Arial" w:hAnsi="Arial" w:cs="Arial"/>
          <w:noProof/>
          <w:lang w:val="sr-Latn-CS"/>
        </w:rPr>
        <w:t>etni Elaborat je za potrebe AD „</w:t>
      </w:r>
      <w:r w:rsidRPr="00AE5C99">
        <w:rPr>
          <w:rFonts w:ascii="Arial" w:hAnsi="Arial" w:cs="Arial"/>
          <w:noProof/>
          <w:lang w:val="sr-Latn-CS"/>
        </w:rPr>
        <w:t>Zavod za izgradnju Bara” – Bar uradila JU Zavod za geološka istraživanja – Podgorica i isti je ovjeren Rješenjem Ministarstva ekonomije, broj: 01-1956/3 od 06.07.2011. godine. U narednoj tabeli dat je pregled strukture rezervi tehničko-građevinskog kamena u ležištu “Velji Zabio“:</w:t>
      </w:r>
    </w:p>
    <w:p w:rsidR="00B96968" w:rsidRPr="00AE5C99" w:rsidRDefault="00B96968" w:rsidP="00AE5C99">
      <w:pPr>
        <w:pStyle w:val="BodyText"/>
        <w:spacing w:after="0" w:line="240" w:lineRule="auto"/>
        <w:jc w:val="both"/>
        <w:rPr>
          <w:rFonts w:ascii="Arial" w:hAnsi="Arial" w:cs="Arial"/>
          <w:noProof/>
          <w:lang w:val="sr-Latn-CS"/>
        </w:rPr>
      </w:pPr>
    </w:p>
    <w:p w:rsidR="00454387" w:rsidRPr="00AE5C99" w:rsidRDefault="00454387" w:rsidP="00AE5C99">
      <w:pPr>
        <w:spacing w:after="0" w:line="240" w:lineRule="auto"/>
        <w:rPr>
          <w:rFonts w:ascii="Arial" w:hAnsi="Arial" w:cs="Arial"/>
          <w:i/>
          <w:noProof/>
          <w:lang w:val="sr-Latn-CS"/>
        </w:rPr>
      </w:pPr>
      <w:r w:rsidRPr="00AE5C99">
        <w:rPr>
          <w:rFonts w:ascii="Arial" w:hAnsi="Arial" w:cs="Arial"/>
          <w:b/>
          <w:i/>
          <w:noProof/>
          <w:lang w:val="sr-Latn-CS"/>
        </w:rPr>
        <w:t>Tabela</w:t>
      </w:r>
      <w:r w:rsidR="00B96968" w:rsidRPr="00AE5C99">
        <w:rPr>
          <w:rFonts w:ascii="Arial" w:hAnsi="Arial" w:cs="Arial"/>
          <w:b/>
          <w:i/>
          <w:noProof/>
          <w:lang w:val="sr-Latn-CS"/>
        </w:rPr>
        <w:t xml:space="preserve"> 4</w:t>
      </w:r>
      <w:r w:rsidRPr="00AE5C99">
        <w:rPr>
          <w:rFonts w:ascii="Arial" w:hAnsi="Arial" w:cs="Arial"/>
          <w:b/>
          <w:i/>
          <w:noProof/>
          <w:lang w:val="sr-Latn-CS"/>
        </w:rPr>
        <w:t>:</w:t>
      </w:r>
      <w:r w:rsidRPr="00AE5C99">
        <w:rPr>
          <w:rFonts w:ascii="Arial" w:hAnsi="Arial" w:cs="Arial"/>
          <w:i/>
          <w:noProof/>
          <w:lang w:val="sr-Latn-CS"/>
        </w:rPr>
        <w:t xml:space="preserve"> Pregled geoloških i eksploatacionih rezervi tehničko-građevinskog kamena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1871"/>
        <w:gridCol w:w="1876"/>
        <w:gridCol w:w="2057"/>
      </w:tblGrid>
      <w:tr w:rsidR="00B96968" w:rsidRPr="00AE5C99" w:rsidTr="00430D05">
        <w:tc>
          <w:tcPr>
            <w:tcW w:w="1969" w:type="dxa"/>
            <w:vMerge w:val="restart"/>
            <w:tcBorders>
              <w:top w:val="thinThickSmallGap" w:sz="12" w:space="0" w:color="auto"/>
              <w:left w:val="thinThickSmallGap" w:sz="12" w:space="0" w:color="auto"/>
              <w:right w:val="double" w:sz="4" w:space="0" w:color="auto"/>
            </w:tcBorders>
            <w:shd w:val="clear" w:color="auto" w:fill="auto"/>
            <w:vAlign w:val="center"/>
          </w:tcPr>
          <w:p w:rsidR="00B96968" w:rsidRPr="00AE5C99" w:rsidRDefault="00B96968" w:rsidP="00AE5C99">
            <w:pPr>
              <w:spacing w:after="0" w:line="240" w:lineRule="auto"/>
              <w:jc w:val="center"/>
              <w:rPr>
                <w:rFonts w:ascii="Arial" w:hAnsi="Arial" w:cs="Arial"/>
                <w:i/>
                <w:noProof/>
                <w:lang w:val="sr-Latn-CS"/>
              </w:rPr>
            </w:pPr>
            <w:r w:rsidRPr="00AE5C99">
              <w:rPr>
                <w:rFonts w:ascii="Arial" w:hAnsi="Arial" w:cs="Arial"/>
                <w:b/>
                <w:i/>
                <w:noProof/>
                <w:lang w:val="sr-Latn-CS"/>
              </w:rPr>
              <w:t>Rezerve</w:t>
            </w:r>
          </w:p>
        </w:tc>
        <w:tc>
          <w:tcPr>
            <w:tcW w:w="3747" w:type="dxa"/>
            <w:gridSpan w:val="2"/>
            <w:tcBorders>
              <w:top w:val="thinThickSmallGap" w:sz="12" w:space="0" w:color="auto"/>
              <w:left w:val="double" w:sz="4" w:space="0" w:color="auto"/>
              <w:bottom w:val="double" w:sz="4" w:space="0" w:color="auto"/>
              <w:right w:val="double" w:sz="4" w:space="0" w:color="auto"/>
            </w:tcBorders>
            <w:shd w:val="clear" w:color="auto" w:fill="auto"/>
          </w:tcPr>
          <w:p w:rsidR="00B96968" w:rsidRPr="00AE5C99" w:rsidRDefault="00B96968" w:rsidP="00AE5C99">
            <w:pPr>
              <w:spacing w:after="0" w:line="240" w:lineRule="auto"/>
              <w:jc w:val="center"/>
              <w:rPr>
                <w:rFonts w:ascii="Arial" w:hAnsi="Arial" w:cs="Arial"/>
                <w:i/>
                <w:noProof/>
                <w:lang w:val="sr-Latn-CS"/>
              </w:rPr>
            </w:pPr>
            <w:r w:rsidRPr="00AE5C99">
              <w:rPr>
                <w:rFonts w:ascii="Arial" w:hAnsi="Arial" w:cs="Arial"/>
                <w:b/>
                <w:i/>
                <w:noProof/>
                <w:lang w:val="sr-Latn-CS"/>
              </w:rPr>
              <w:t>Kategorija</w:t>
            </w:r>
          </w:p>
        </w:tc>
        <w:tc>
          <w:tcPr>
            <w:tcW w:w="2057" w:type="dxa"/>
            <w:vMerge w:val="restart"/>
            <w:tcBorders>
              <w:top w:val="thinThickSmallGap" w:sz="12" w:space="0" w:color="auto"/>
              <w:left w:val="double" w:sz="4" w:space="0" w:color="auto"/>
              <w:right w:val="thickThinSmallGap" w:sz="12" w:space="0" w:color="auto"/>
            </w:tcBorders>
            <w:shd w:val="clear" w:color="auto" w:fill="auto"/>
            <w:vAlign w:val="center"/>
          </w:tcPr>
          <w:p w:rsidR="00B96968" w:rsidRPr="00AE5C99" w:rsidRDefault="00B96968" w:rsidP="00AE5C99">
            <w:pPr>
              <w:spacing w:after="0" w:line="240" w:lineRule="auto"/>
              <w:jc w:val="center"/>
              <w:rPr>
                <w:rFonts w:ascii="Arial" w:hAnsi="Arial" w:cs="Arial"/>
                <w:b/>
                <w:i/>
                <w:noProof/>
                <w:lang w:val="sr-Latn-CS"/>
              </w:rPr>
            </w:pPr>
            <w:r w:rsidRPr="00AE5C99">
              <w:rPr>
                <w:rFonts w:ascii="Arial" w:hAnsi="Arial" w:cs="Arial"/>
                <w:b/>
                <w:i/>
                <w:noProof/>
                <w:lang w:val="sr-Latn-CS"/>
              </w:rPr>
              <w:t>Ukupne rezerve t-g kamena</w:t>
            </w:r>
          </w:p>
        </w:tc>
      </w:tr>
      <w:tr w:rsidR="00B96968" w:rsidRPr="00AE5C99" w:rsidTr="00430D05">
        <w:tc>
          <w:tcPr>
            <w:tcW w:w="1969" w:type="dxa"/>
            <w:vMerge/>
            <w:tcBorders>
              <w:left w:val="thinThickSmallGap" w:sz="12" w:space="0" w:color="auto"/>
              <w:bottom w:val="double" w:sz="4" w:space="0" w:color="auto"/>
              <w:right w:val="double" w:sz="4" w:space="0" w:color="auto"/>
            </w:tcBorders>
            <w:shd w:val="clear" w:color="auto" w:fill="999999"/>
          </w:tcPr>
          <w:p w:rsidR="00B96968" w:rsidRPr="00AE5C99" w:rsidRDefault="00B96968" w:rsidP="00AE5C99">
            <w:pPr>
              <w:spacing w:line="240" w:lineRule="auto"/>
              <w:jc w:val="center"/>
              <w:rPr>
                <w:rFonts w:ascii="Arial" w:hAnsi="Arial" w:cs="Arial"/>
                <w:b/>
                <w:i/>
                <w:noProof/>
                <w:lang w:val="sr-Latn-CS"/>
              </w:rPr>
            </w:pPr>
          </w:p>
        </w:tc>
        <w:tc>
          <w:tcPr>
            <w:tcW w:w="1871" w:type="dxa"/>
            <w:tcBorders>
              <w:top w:val="double" w:sz="4" w:space="0" w:color="auto"/>
              <w:left w:val="double" w:sz="4" w:space="0" w:color="auto"/>
              <w:bottom w:val="double" w:sz="4" w:space="0" w:color="auto"/>
              <w:right w:val="double" w:sz="4" w:space="0" w:color="auto"/>
            </w:tcBorders>
            <w:shd w:val="clear" w:color="auto" w:fill="auto"/>
          </w:tcPr>
          <w:p w:rsidR="00B96968" w:rsidRPr="00AE5C99" w:rsidRDefault="00B96968" w:rsidP="00AE5C99">
            <w:pPr>
              <w:spacing w:after="0" w:line="240" w:lineRule="auto"/>
              <w:jc w:val="center"/>
              <w:rPr>
                <w:rFonts w:ascii="Arial" w:hAnsi="Arial" w:cs="Arial"/>
                <w:b/>
                <w:i/>
                <w:noProof/>
                <w:lang w:val="sr-Latn-CS"/>
              </w:rPr>
            </w:pPr>
            <w:r w:rsidRPr="00AE5C99">
              <w:rPr>
                <w:rFonts w:ascii="Arial" w:hAnsi="Arial" w:cs="Arial"/>
                <w:b/>
                <w:i/>
                <w:noProof/>
                <w:lang w:val="sr-Latn-CS"/>
              </w:rPr>
              <w:t>B</w:t>
            </w:r>
          </w:p>
        </w:tc>
        <w:tc>
          <w:tcPr>
            <w:tcW w:w="1876" w:type="dxa"/>
            <w:tcBorders>
              <w:top w:val="double" w:sz="4" w:space="0" w:color="auto"/>
              <w:left w:val="double" w:sz="4" w:space="0" w:color="auto"/>
              <w:bottom w:val="double" w:sz="4" w:space="0" w:color="auto"/>
              <w:right w:val="double" w:sz="4" w:space="0" w:color="auto"/>
            </w:tcBorders>
            <w:shd w:val="clear" w:color="auto" w:fill="auto"/>
          </w:tcPr>
          <w:p w:rsidR="00B96968" w:rsidRPr="00AE5C99" w:rsidRDefault="00B96968" w:rsidP="00AE5C99">
            <w:pPr>
              <w:spacing w:after="0" w:line="240" w:lineRule="auto"/>
              <w:jc w:val="center"/>
              <w:rPr>
                <w:rFonts w:ascii="Arial" w:hAnsi="Arial" w:cs="Arial"/>
                <w:b/>
                <w:i/>
                <w:noProof/>
                <w:vertAlign w:val="subscript"/>
                <w:lang w:val="sr-Latn-CS"/>
              </w:rPr>
            </w:pPr>
            <w:r w:rsidRPr="00AE5C99">
              <w:rPr>
                <w:rFonts w:ascii="Arial" w:hAnsi="Arial" w:cs="Arial"/>
                <w:b/>
                <w:i/>
                <w:noProof/>
                <w:lang w:val="sr-Latn-CS"/>
              </w:rPr>
              <w:t>C</w:t>
            </w:r>
            <w:r w:rsidRPr="00AE5C99">
              <w:rPr>
                <w:rFonts w:ascii="Arial" w:hAnsi="Arial" w:cs="Arial"/>
                <w:b/>
                <w:i/>
                <w:noProof/>
                <w:vertAlign w:val="subscript"/>
                <w:lang w:val="sr-Latn-CS"/>
              </w:rPr>
              <w:t>1</w:t>
            </w:r>
          </w:p>
        </w:tc>
        <w:tc>
          <w:tcPr>
            <w:tcW w:w="2057" w:type="dxa"/>
            <w:vMerge/>
            <w:tcBorders>
              <w:left w:val="double" w:sz="4" w:space="0" w:color="auto"/>
              <w:bottom w:val="double" w:sz="4" w:space="0" w:color="auto"/>
              <w:right w:val="thickThinSmallGap" w:sz="12" w:space="0" w:color="auto"/>
            </w:tcBorders>
            <w:shd w:val="clear" w:color="auto" w:fill="999999"/>
          </w:tcPr>
          <w:p w:rsidR="00B96968" w:rsidRPr="00AE5C99" w:rsidRDefault="00B96968" w:rsidP="00AE5C99">
            <w:pPr>
              <w:spacing w:line="240" w:lineRule="auto"/>
              <w:jc w:val="center"/>
              <w:rPr>
                <w:rFonts w:ascii="Arial" w:hAnsi="Arial" w:cs="Arial"/>
                <w:b/>
                <w:i/>
                <w:noProof/>
                <w:lang w:val="sr-Latn-CS"/>
              </w:rPr>
            </w:pPr>
          </w:p>
        </w:tc>
      </w:tr>
      <w:tr w:rsidR="00AE5C99" w:rsidRPr="00AE5C99" w:rsidTr="00430D05">
        <w:tc>
          <w:tcPr>
            <w:tcW w:w="1969" w:type="dxa"/>
            <w:tcBorders>
              <w:top w:val="double" w:sz="4" w:space="0" w:color="auto"/>
              <w:left w:val="thinThickSmallGap" w:sz="12"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i/>
                <w:noProof/>
                <w:lang w:val="sr-Latn-CS"/>
              </w:rPr>
            </w:pPr>
            <w:r w:rsidRPr="00AE5C99">
              <w:rPr>
                <w:rFonts w:ascii="Arial" w:hAnsi="Arial" w:cs="Arial"/>
                <w:b/>
                <w:i/>
                <w:noProof/>
                <w:lang w:val="sr-Latn-CS"/>
              </w:rPr>
              <w:t>Geološke</w:t>
            </w:r>
          </w:p>
        </w:tc>
        <w:tc>
          <w:tcPr>
            <w:tcW w:w="1871" w:type="dxa"/>
            <w:tcBorders>
              <w:top w:val="double" w:sz="4" w:space="0" w:color="auto"/>
              <w:left w:val="double" w:sz="4"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4.718.100</w:t>
            </w:r>
          </w:p>
        </w:tc>
        <w:tc>
          <w:tcPr>
            <w:tcW w:w="1876" w:type="dxa"/>
            <w:tcBorders>
              <w:top w:val="double" w:sz="4" w:space="0" w:color="auto"/>
              <w:left w:val="double" w:sz="4"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2.697.400</w:t>
            </w:r>
          </w:p>
        </w:tc>
        <w:tc>
          <w:tcPr>
            <w:tcW w:w="2057" w:type="dxa"/>
            <w:tcBorders>
              <w:top w:val="double" w:sz="4" w:space="0" w:color="auto"/>
              <w:left w:val="double" w:sz="4" w:space="0" w:color="auto"/>
              <w:right w:val="thickThinSmallGap" w:sz="12"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7.415.500</w:t>
            </w:r>
          </w:p>
        </w:tc>
      </w:tr>
      <w:tr w:rsidR="00AE5C99" w:rsidRPr="00AE5C99" w:rsidTr="00430D05">
        <w:tc>
          <w:tcPr>
            <w:tcW w:w="1969" w:type="dxa"/>
            <w:tcBorders>
              <w:left w:val="thinThickSmallGap" w:sz="12"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i/>
                <w:noProof/>
                <w:lang w:val="sr-Latn-CS"/>
              </w:rPr>
            </w:pPr>
            <w:r w:rsidRPr="00AE5C99">
              <w:rPr>
                <w:rFonts w:ascii="Arial" w:hAnsi="Arial" w:cs="Arial"/>
                <w:b/>
                <w:i/>
                <w:noProof/>
                <w:lang w:val="sr-Latn-CS"/>
              </w:rPr>
              <w:t>Bilansne</w:t>
            </w:r>
          </w:p>
        </w:tc>
        <w:tc>
          <w:tcPr>
            <w:tcW w:w="1871" w:type="dxa"/>
            <w:tcBorders>
              <w:left w:val="double" w:sz="4"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4.718.100</w:t>
            </w:r>
          </w:p>
        </w:tc>
        <w:tc>
          <w:tcPr>
            <w:tcW w:w="1876" w:type="dxa"/>
            <w:tcBorders>
              <w:left w:val="double" w:sz="4"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2.697.400</w:t>
            </w:r>
          </w:p>
        </w:tc>
        <w:tc>
          <w:tcPr>
            <w:tcW w:w="2057" w:type="dxa"/>
            <w:tcBorders>
              <w:left w:val="double" w:sz="4" w:space="0" w:color="auto"/>
              <w:right w:val="thickThinSmallGap" w:sz="12"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7.415.500</w:t>
            </w:r>
          </w:p>
        </w:tc>
      </w:tr>
      <w:tr w:rsidR="00AE5C99" w:rsidRPr="00AE5C99" w:rsidTr="00430D05">
        <w:tc>
          <w:tcPr>
            <w:tcW w:w="1969" w:type="dxa"/>
            <w:tcBorders>
              <w:left w:val="thinThickSmallGap" w:sz="12" w:space="0" w:color="auto"/>
              <w:bottom w:val="thickThinSmallGap" w:sz="12"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i/>
                <w:noProof/>
                <w:lang w:val="sr-Latn-CS"/>
              </w:rPr>
            </w:pPr>
            <w:r w:rsidRPr="00AE5C99">
              <w:rPr>
                <w:rFonts w:ascii="Arial" w:hAnsi="Arial" w:cs="Arial"/>
                <w:b/>
                <w:i/>
                <w:noProof/>
                <w:lang w:val="sr-Latn-CS"/>
              </w:rPr>
              <w:t>Eksploatacione</w:t>
            </w:r>
          </w:p>
        </w:tc>
        <w:tc>
          <w:tcPr>
            <w:tcW w:w="1871" w:type="dxa"/>
            <w:tcBorders>
              <w:left w:val="double" w:sz="4" w:space="0" w:color="auto"/>
              <w:bottom w:val="thickThinSmallGap" w:sz="12"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4.246.290</w:t>
            </w:r>
          </w:p>
        </w:tc>
        <w:tc>
          <w:tcPr>
            <w:tcW w:w="1876" w:type="dxa"/>
            <w:tcBorders>
              <w:left w:val="double" w:sz="4" w:space="0" w:color="auto"/>
              <w:bottom w:val="thickThinSmallGap" w:sz="12" w:space="0" w:color="auto"/>
              <w:right w:val="double" w:sz="4"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2.427.660</w:t>
            </w:r>
          </w:p>
        </w:tc>
        <w:tc>
          <w:tcPr>
            <w:tcW w:w="2057" w:type="dxa"/>
            <w:tcBorders>
              <w:left w:val="double" w:sz="4" w:space="0" w:color="auto"/>
              <w:bottom w:val="thickThinSmallGap" w:sz="12" w:space="0" w:color="auto"/>
              <w:right w:val="thickThinSmallGap" w:sz="12" w:space="0" w:color="auto"/>
            </w:tcBorders>
            <w:vAlign w:val="center"/>
          </w:tcPr>
          <w:p w:rsidR="00B96968" w:rsidRPr="00AE5C99" w:rsidRDefault="00B96968" w:rsidP="00AE5C99">
            <w:pPr>
              <w:spacing w:before="120" w:after="120" w:line="240" w:lineRule="auto"/>
              <w:jc w:val="center"/>
              <w:rPr>
                <w:rFonts w:ascii="Arial" w:hAnsi="Arial" w:cs="Arial"/>
                <w:b/>
                <w:noProof/>
                <w:lang w:val="sr-Latn-CS"/>
              </w:rPr>
            </w:pPr>
            <w:r w:rsidRPr="00AE5C99">
              <w:rPr>
                <w:rFonts w:ascii="Arial" w:hAnsi="Arial" w:cs="Arial"/>
                <w:b/>
                <w:noProof/>
                <w:lang w:val="sr-Latn-CS"/>
              </w:rPr>
              <w:t>6.673.950</w:t>
            </w:r>
          </w:p>
        </w:tc>
      </w:tr>
    </w:tbl>
    <w:p w:rsidR="00D021C0" w:rsidRPr="00AE5C99" w:rsidRDefault="00D021C0" w:rsidP="00AE5C99">
      <w:pPr>
        <w:pStyle w:val="BodyText"/>
        <w:spacing w:after="0" w:line="240" w:lineRule="auto"/>
        <w:jc w:val="both"/>
        <w:rPr>
          <w:rFonts w:ascii="Arial" w:hAnsi="Arial" w:cs="Arial"/>
          <w:noProof/>
          <w:lang w:val="sr-Latn-CS"/>
        </w:rPr>
      </w:pPr>
    </w:p>
    <w:p w:rsidR="009C7ACB" w:rsidRPr="00AE5C99" w:rsidRDefault="009C7ACB" w:rsidP="00AE5C99">
      <w:pPr>
        <w:spacing w:line="240" w:lineRule="auto"/>
        <w:rPr>
          <w:rFonts w:ascii="Arial" w:hAnsi="Arial" w:cs="Arial"/>
          <w:noProof/>
          <w:lang w:val="sr-Latn-CS"/>
        </w:rPr>
      </w:pPr>
    </w:p>
    <w:p w:rsidR="00D021C0" w:rsidRPr="00AE5C99" w:rsidRDefault="00925256" w:rsidP="00AE5C99">
      <w:pPr>
        <w:spacing w:line="240" w:lineRule="auto"/>
        <w:rPr>
          <w:rFonts w:ascii="Arial" w:hAnsi="Arial" w:cs="Arial"/>
          <w:noProof/>
          <w:lang w:val="sr-Latn-CS"/>
        </w:rPr>
      </w:pPr>
      <w:r w:rsidRPr="00AE5C99">
        <w:rPr>
          <w:rFonts w:ascii="Arial" w:hAnsi="Arial" w:cs="Arial"/>
          <w:i/>
          <w:noProof/>
          <w:u w:val="single"/>
          <w:lang w:val="sr-Latn-CS"/>
        </w:rPr>
        <w:t>Kvalitet mineralne sirovine</w:t>
      </w:r>
    </w:p>
    <w:p w:rsidR="00454387" w:rsidRPr="00AE5C99" w:rsidRDefault="00454387"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Ispitivanje kvaliteta tehničko-građevinskog kamena u ležištu </w:t>
      </w:r>
      <w:r w:rsidR="00954705" w:rsidRPr="00AE5C99">
        <w:rPr>
          <w:rFonts w:ascii="Arial" w:hAnsi="Arial" w:cs="Arial"/>
          <w:noProof/>
          <w:lang w:val="sr-Latn-CS"/>
        </w:rPr>
        <w:t>„</w:t>
      </w:r>
      <w:r w:rsidRPr="00AE5C99">
        <w:rPr>
          <w:rFonts w:ascii="Arial" w:hAnsi="Arial" w:cs="Arial"/>
          <w:noProof/>
          <w:lang w:val="sr-Latn-CS"/>
        </w:rPr>
        <w:t xml:space="preserve">Velji Zabio” vršena su u više navrata putem djelimičnih i kompletnih laboratorijskih analiza fizičko-mehaničkih karakteristika stijenske mase. </w:t>
      </w:r>
      <w:r w:rsidR="00954705" w:rsidRPr="00AE5C99">
        <w:rPr>
          <w:rFonts w:ascii="Arial" w:hAnsi="Arial" w:cs="Arial"/>
          <w:noProof/>
          <w:lang w:val="sr-Latn-CS"/>
        </w:rPr>
        <w:t>U tabeli 5</w:t>
      </w:r>
      <w:r w:rsidRPr="00AE5C99">
        <w:rPr>
          <w:rFonts w:ascii="Arial" w:hAnsi="Arial" w:cs="Arial"/>
          <w:noProof/>
          <w:lang w:val="sr-Latn-CS"/>
        </w:rPr>
        <w:t xml:space="preserve"> prikazane su srednje vrijednosti fizičko-mehaničkih karakteristika tehničko-građevinskog kamena iz predmetnog ležišta.</w:t>
      </w:r>
    </w:p>
    <w:p w:rsidR="00454387" w:rsidRPr="00AE5C99" w:rsidRDefault="00454387" w:rsidP="00AE5C99">
      <w:pPr>
        <w:pStyle w:val="BodyText"/>
        <w:spacing w:after="0" w:line="240" w:lineRule="auto"/>
        <w:jc w:val="both"/>
        <w:rPr>
          <w:rFonts w:ascii="Arial" w:hAnsi="Arial" w:cs="Arial"/>
          <w:noProof/>
          <w:lang w:val="sr-Latn-CS"/>
        </w:rPr>
      </w:pPr>
    </w:p>
    <w:p w:rsidR="00454387" w:rsidRPr="00AE5C99" w:rsidRDefault="00454387"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Prema rezultatima laboratorijskih ispitivanja, koja se odnose na mineraloško-petrografski i hemijski sastav i fizičko-mehaničke osobine stijenske mase, proizilazi da kvalitet </w:t>
      </w:r>
      <w:r w:rsidR="00954705" w:rsidRPr="00AE5C99">
        <w:rPr>
          <w:rFonts w:ascii="Arial" w:hAnsi="Arial" w:cs="Arial"/>
          <w:noProof/>
          <w:lang w:val="sr-Latn-CS"/>
        </w:rPr>
        <w:t>karbonatnih sedimenata ležišta „</w:t>
      </w:r>
      <w:r w:rsidRPr="00AE5C99">
        <w:rPr>
          <w:rFonts w:ascii="Arial" w:hAnsi="Arial" w:cs="Arial"/>
          <w:noProof/>
          <w:lang w:val="sr-Latn-CS"/>
        </w:rPr>
        <w:t>Velji Zabio” kod Bara zadovoljava sve kriterijume važećih domaćih standarda (JUS) u pogledu primjene u tehničko-građevinske svrhe.</w:t>
      </w:r>
    </w:p>
    <w:p w:rsidR="00454387" w:rsidRPr="00AE5C99" w:rsidRDefault="00454387" w:rsidP="00AE5C99">
      <w:pPr>
        <w:pStyle w:val="BodyText"/>
        <w:spacing w:after="0" w:line="240" w:lineRule="auto"/>
        <w:jc w:val="both"/>
        <w:rPr>
          <w:rFonts w:ascii="Arial" w:hAnsi="Arial" w:cs="Arial"/>
          <w:noProof/>
          <w:lang w:val="sr-Latn-CS"/>
        </w:rPr>
      </w:pPr>
    </w:p>
    <w:p w:rsidR="00454387" w:rsidRPr="00AE5C99" w:rsidRDefault="00454387" w:rsidP="00AE5C99">
      <w:pPr>
        <w:pStyle w:val="BodyText"/>
        <w:spacing w:after="0" w:line="240" w:lineRule="auto"/>
        <w:jc w:val="both"/>
        <w:rPr>
          <w:rFonts w:ascii="Arial" w:hAnsi="Arial" w:cs="Arial"/>
          <w:noProof/>
          <w:lang w:val="sr-Latn-CS"/>
        </w:rPr>
      </w:pPr>
      <w:r w:rsidRPr="00AE5C99">
        <w:rPr>
          <w:rFonts w:ascii="Arial" w:hAnsi="Arial" w:cs="Arial"/>
          <w:noProof/>
          <w:lang w:val="sr-Latn-CS"/>
        </w:rPr>
        <w:lastRenderedPageBreak/>
        <w:t xml:space="preserve">Srednje vrijednosti parametara fizičko mehaničkih svojstava kamena iz ležišta </w:t>
      </w:r>
      <w:r w:rsidR="00954705" w:rsidRPr="00AE5C99">
        <w:rPr>
          <w:rFonts w:ascii="Arial" w:hAnsi="Arial" w:cs="Arial"/>
          <w:noProof/>
          <w:lang w:val="sr-Latn-CS"/>
        </w:rPr>
        <w:t>„</w:t>
      </w:r>
      <w:r w:rsidRPr="00AE5C99">
        <w:rPr>
          <w:rFonts w:ascii="Arial" w:hAnsi="Arial" w:cs="Arial"/>
          <w:noProof/>
          <w:lang w:val="sr-Latn-CS"/>
        </w:rPr>
        <w:t>Velji Zabio” date su u sledećoj tabeli.</w:t>
      </w:r>
    </w:p>
    <w:p w:rsidR="00454387" w:rsidRPr="00AE5C99" w:rsidRDefault="00454387" w:rsidP="00AE5C99">
      <w:pPr>
        <w:pStyle w:val="BodyText"/>
        <w:spacing w:after="0" w:line="240" w:lineRule="auto"/>
        <w:jc w:val="both"/>
        <w:rPr>
          <w:rFonts w:ascii="Arial" w:hAnsi="Arial" w:cs="Arial"/>
          <w:noProof/>
          <w:lang w:val="sr-Latn-CS"/>
        </w:rPr>
      </w:pPr>
    </w:p>
    <w:p w:rsidR="00954705" w:rsidRPr="00AE5C99" w:rsidRDefault="00954705" w:rsidP="00AE5C99">
      <w:pPr>
        <w:spacing w:after="0" w:line="240" w:lineRule="auto"/>
        <w:jc w:val="both"/>
        <w:rPr>
          <w:rFonts w:ascii="Arial" w:hAnsi="Arial" w:cs="Arial"/>
          <w:b/>
          <w:i/>
          <w:noProof/>
          <w:lang w:val="sr-Latn-CS"/>
        </w:rPr>
      </w:pPr>
    </w:p>
    <w:p w:rsidR="00454387" w:rsidRPr="00AE5C99" w:rsidRDefault="00454387" w:rsidP="00AE5C99">
      <w:pPr>
        <w:spacing w:after="0" w:line="240" w:lineRule="auto"/>
        <w:jc w:val="both"/>
        <w:rPr>
          <w:rFonts w:ascii="Arial" w:hAnsi="Arial" w:cs="Arial"/>
          <w:i/>
          <w:noProof/>
          <w:lang w:val="sr-Latn-CS"/>
        </w:rPr>
      </w:pPr>
      <w:r w:rsidRPr="00AE5C99">
        <w:rPr>
          <w:rFonts w:ascii="Arial" w:hAnsi="Arial" w:cs="Arial"/>
          <w:b/>
          <w:i/>
          <w:noProof/>
          <w:lang w:val="sr-Latn-CS"/>
        </w:rPr>
        <w:t xml:space="preserve">Tabela </w:t>
      </w:r>
      <w:r w:rsidR="00954705" w:rsidRPr="00AE5C99">
        <w:rPr>
          <w:rFonts w:ascii="Arial" w:hAnsi="Arial" w:cs="Arial"/>
          <w:b/>
          <w:i/>
          <w:noProof/>
          <w:lang w:val="sr-Latn-CS"/>
        </w:rPr>
        <w:t>5</w:t>
      </w:r>
      <w:r w:rsidRPr="00AE5C99">
        <w:rPr>
          <w:rFonts w:ascii="Arial" w:hAnsi="Arial" w:cs="Arial"/>
          <w:b/>
          <w:i/>
          <w:noProof/>
          <w:lang w:val="sr-Latn-CS"/>
        </w:rPr>
        <w:t>:</w:t>
      </w:r>
      <w:r w:rsidRPr="00AE5C99">
        <w:rPr>
          <w:rFonts w:ascii="Arial" w:hAnsi="Arial" w:cs="Arial"/>
          <w:i/>
          <w:noProof/>
          <w:lang w:val="sr-Latn-CS"/>
        </w:rPr>
        <w:t xml:space="preserve"> Srednje vrijednosti pokazatelja kvaliteta tehničko-</w:t>
      </w:r>
      <w:r w:rsidR="00954705" w:rsidRPr="00AE5C99">
        <w:rPr>
          <w:rFonts w:ascii="Arial" w:hAnsi="Arial" w:cs="Arial"/>
          <w:i/>
          <w:noProof/>
          <w:lang w:val="sr-Latn-CS"/>
        </w:rPr>
        <w:t>građevinskog kamena iz ležišta „</w:t>
      </w:r>
      <w:r w:rsidRPr="00AE5C99">
        <w:rPr>
          <w:rFonts w:ascii="Arial" w:hAnsi="Arial" w:cs="Arial"/>
          <w:i/>
          <w:noProof/>
          <w:lang w:val="sr-Latn-CS"/>
        </w:rPr>
        <w:t>Velji Zabio”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1265"/>
        <w:gridCol w:w="1064"/>
        <w:gridCol w:w="1576"/>
        <w:gridCol w:w="1419"/>
        <w:gridCol w:w="1734"/>
      </w:tblGrid>
      <w:tr w:rsidR="00454387" w:rsidRPr="00AE5C99" w:rsidTr="0096066D">
        <w:tc>
          <w:tcPr>
            <w:tcW w:w="2160" w:type="dxa"/>
            <w:tcBorders>
              <w:top w:val="double" w:sz="4" w:space="0" w:color="auto"/>
              <w:left w:val="double" w:sz="4" w:space="0" w:color="auto"/>
              <w:bottom w:val="single" w:sz="4" w:space="0" w:color="auto"/>
              <w:right w:val="single" w:sz="4" w:space="0" w:color="auto"/>
            </w:tcBorders>
            <w:shd w:val="clear" w:color="auto" w:fill="FFFFFF"/>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Vrsta ispitivanja</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Jedinica mjere</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Broj analiza</w:t>
            </w:r>
          </w:p>
        </w:tc>
        <w:tc>
          <w:tcPr>
            <w:tcW w:w="1620" w:type="dxa"/>
            <w:tcBorders>
              <w:top w:val="doub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Min. srednja vrijednost</w:t>
            </w:r>
          </w:p>
        </w:tc>
        <w:tc>
          <w:tcPr>
            <w:tcW w:w="1440" w:type="dxa"/>
            <w:tcBorders>
              <w:top w:val="doub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Max. srednja vrijednost</w:t>
            </w:r>
          </w:p>
        </w:tc>
        <w:tc>
          <w:tcPr>
            <w:tcW w:w="1800" w:type="dxa"/>
            <w:tcBorders>
              <w:top w:val="double" w:sz="4" w:space="0" w:color="auto"/>
              <w:left w:val="single" w:sz="4" w:space="0" w:color="auto"/>
              <w:bottom w:val="single" w:sz="4" w:space="0" w:color="auto"/>
              <w:right w:val="doub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b/>
                <w:noProof/>
                <w:lang w:val="sr-Latn-CS"/>
              </w:rPr>
            </w:pPr>
            <w:r w:rsidRPr="00AE5C99">
              <w:rPr>
                <w:rFonts w:ascii="Arial" w:hAnsi="Arial" w:cs="Arial"/>
                <w:b/>
                <w:noProof/>
                <w:lang w:val="sr-Latn-CS"/>
              </w:rPr>
              <w:t>Srednja vrijednost</w:t>
            </w:r>
          </w:p>
        </w:tc>
      </w:tr>
      <w:tr w:rsidR="00454387"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Čvrstoća na pritisak</w:t>
            </w:r>
          </w:p>
        </w:tc>
        <w:tc>
          <w:tcPr>
            <w:tcW w:w="7200"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highlight w:val="lightGray"/>
                <w:lang w:val="sr-Latn-CS"/>
              </w:rPr>
            </w:pPr>
          </w:p>
        </w:tc>
      </w:tr>
      <w:tr w:rsidR="00AE5C99" w:rsidRPr="00AE5C99" w:rsidTr="0096066D">
        <w:tc>
          <w:tcPr>
            <w:tcW w:w="2160" w:type="dxa"/>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 u suvom stanju</w:t>
            </w:r>
          </w:p>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 u vodozasić. stanju</w:t>
            </w:r>
          </w:p>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 posl. 25 cikl. zamrz.</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MPa</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115,6</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167,1</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140,3</w:t>
            </w:r>
          </w:p>
        </w:tc>
      </w:tr>
      <w:tr w:rsidR="00AE5C99" w:rsidRPr="00AE5C99" w:rsidTr="0096066D">
        <w:tc>
          <w:tcPr>
            <w:tcW w:w="2160" w:type="dxa"/>
            <w:vMerge/>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MPa</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103,3</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149,4</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124,8</w:t>
            </w:r>
          </w:p>
        </w:tc>
      </w:tr>
      <w:tr w:rsidR="00AE5C99" w:rsidRPr="00AE5C99" w:rsidTr="0096066D">
        <w:tc>
          <w:tcPr>
            <w:tcW w:w="2160" w:type="dxa"/>
            <w:vMerge/>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MPa</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90,7</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134,4</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112,4</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Otpornost prema habanju brušenjem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cm</w:t>
            </w:r>
            <w:r w:rsidRPr="00AE5C99">
              <w:rPr>
                <w:rFonts w:ascii="Arial" w:hAnsi="Arial" w:cs="Arial"/>
                <w:noProof/>
                <w:vertAlign w:val="superscript"/>
                <w:lang w:val="sr-Latn-CS"/>
              </w:rPr>
              <w:t>3</w:t>
            </w:r>
            <w:r w:rsidRPr="00AE5C99">
              <w:rPr>
                <w:rFonts w:ascii="Arial" w:hAnsi="Arial" w:cs="Arial"/>
                <w:noProof/>
                <w:lang w:val="sr-Latn-CS"/>
              </w:rPr>
              <w:t>/50cm</w:t>
            </w:r>
            <w:r w:rsidRPr="00AE5C99">
              <w:rPr>
                <w:rFonts w:ascii="Arial" w:hAnsi="Arial" w:cs="Arial"/>
                <w:noProof/>
                <w:vertAlign w:val="superscript"/>
                <w:lang w:val="sr-Latn-CS"/>
              </w:rPr>
              <w:t>2</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13,24 (12)</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14,28 (12)</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13,30 (16)</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Zapreminska masa sa porama i šupljinama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vertAlign w:val="superscript"/>
                <w:lang w:val="sr-Latn-CS"/>
              </w:rPr>
            </w:pPr>
            <w:r w:rsidRPr="00AE5C99">
              <w:rPr>
                <w:rFonts w:ascii="Arial" w:hAnsi="Arial" w:cs="Arial"/>
                <w:noProof/>
                <w:lang w:val="sr-Latn-CS"/>
              </w:rPr>
              <w:t>kg/m</w:t>
            </w:r>
            <w:r w:rsidRPr="00AE5C99">
              <w:rPr>
                <w:rFonts w:ascii="Arial" w:hAnsi="Arial" w:cs="Arial"/>
                <w:noProof/>
                <w:vertAlign w:val="superscript"/>
                <w:lang w:val="sr-Latn-CS"/>
              </w:rPr>
              <w:t>3</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2.604</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2.693</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2.645</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Zapreminska masa bez pora i šupljina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vertAlign w:val="superscript"/>
                <w:lang w:val="sr-Latn-CS"/>
              </w:rPr>
            </w:pPr>
            <w:r w:rsidRPr="00AE5C99">
              <w:rPr>
                <w:rFonts w:ascii="Arial" w:hAnsi="Arial" w:cs="Arial"/>
                <w:noProof/>
                <w:lang w:val="sr-Latn-CS"/>
              </w:rPr>
              <w:t>kg/m</w:t>
            </w:r>
            <w:r w:rsidRPr="00AE5C99">
              <w:rPr>
                <w:rFonts w:ascii="Arial" w:hAnsi="Arial" w:cs="Arial"/>
                <w:noProof/>
                <w:vertAlign w:val="superscript"/>
                <w:lang w:val="sr-Latn-CS"/>
              </w:rPr>
              <w:t>3</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15</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2.647</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2.718</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2.686</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Koeficijent zaprem. mase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15</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0,974</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0,998</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0,986</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Poroznost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15</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0,5</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2,6</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1,51</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Upijanje vode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162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0,23 (15)</w:t>
            </w:r>
          </w:p>
        </w:tc>
        <w:tc>
          <w:tcPr>
            <w:tcW w:w="144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0,46 (15)</w:t>
            </w:r>
          </w:p>
        </w:tc>
        <w:tc>
          <w:tcPr>
            <w:tcW w:w="1800" w:type="dxa"/>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0,34 (16)</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Postojanost na dejstvo Na</w:t>
            </w:r>
            <w:r w:rsidRPr="00AE5C99">
              <w:rPr>
                <w:rFonts w:ascii="Arial" w:hAnsi="Arial" w:cs="Arial"/>
                <w:noProof/>
                <w:vertAlign w:val="subscript"/>
                <w:lang w:val="sr-Latn-CS"/>
              </w:rPr>
              <w:t>2</w:t>
            </w:r>
            <w:r w:rsidRPr="00AE5C99">
              <w:rPr>
                <w:rFonts w:ascii="Arial" w:hAnsi="Arial" w:cs="Arial"/>
                <w:noProof/>
                <w:lang w:val="sr-Latn-CS"/>
              </w:rPr>
              <w:t>SO</w:t>
            </w:r>
            <w:r w:rsidRPr="00AE5C99">
              <w:rPr>
                <w:rFonts w:ascii="Arial" w:hAnsi="Arial" w:cs="Arial"/>
                <w:noProof/>
                <w:vertAlign w:val="subscript"/>
                <w:lang w:val="sr-Latn-CS"/>
              </w:rPr>
              <w:t>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4860" w:type="dxa"/>
            <w:gridSpan w:val="3"/>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postojan</w:t>
            </w:r>
          </w:p>
        </w:tc>
      </w:tr>
      <w:tr w:rsidR="00AE5C99" w:rsidRPr="00AE5C99" w:rsidTr="0096066D">
        <w:tc>
          <w:tcPr>
            <w:tcW w:w="2160" w:type="dxa"/>
            <w:tcBorders>
              <w:top w:val="single" w:sz="4" w:space="0" w:color="auto"/>
              <w:left w:val="double" w:sz="4" w:space="0" w:color="auto"/>
              <w:bottom w:val="single" w:sz="4" w:space="0" w:color="auto"/>
              <w:right w:val="single" w:sz="4" w:space="0" w:color="auto"/>
            </w:tcBorders>
            <w:shd w:val="clear" w:color="auto" w:fill="auto"/>
            <w:vAlign w:val="center"/>
          </w:tcPr>
          <w:p w:rsidR="00454387" w:rsidRPr="00AE5C99" w:rsidRDefault="00454387" w:rsidP="00AE5C99">
            <w:pPr>
              <w:spacing w:before="120" w:after="120" w:line="240" w:lineRule="auto"/>
              <w:jc w:val="center"/>
              <w:rPr>
                <w:rFonts w:ascii="Arial" w:hAnsi="Arial" w:cs="Arial"/>
                <w:noProof/>
                <w:lang w:val="sr-Latn-CS"/>
              </w:rPr>
            </w:pPr>
            <w:r w:rsidRPr="00AE5C99">
              <w:rPr>
                <w:rFonts w:ascii="Arial" w:hAnsi="Arial" w:cs="Arial"/>
                <w:noProof/>
                <w:lang w:val="sr-Latn-CS"/>
              </w:rPr>
              <w:t>Postojanost na mrazu</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sing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4860" w:type="dxa"/>
            <w:gridSpan w:val="3"/>
            <w:tcBorders>
              <w:top w:val="single" w:sz="4" w:space="0" w:color="auto"/>
              <w:left w:val="single" w:sz="4" w:space="0" w:color="auto"/>
              <w:bottom w:val="sing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postojan</w:t>
            </w:r>
          </w:p>
        </w:tc>
      </w:tr>
      <w:tr w:rsidR="00AE5C99" w:rsidRPr="00AE5C99" w:rsidTr="0096066D">
        <w:tc>
          <w:tcPr>
            <w:tcW w:w="2160" w:type="dxa"/>
            <w:tcBorders>
              <w:top w:val="single" w:sz="4" w:space="0" w:color="auto"/>
              <w:left w:val="double" w:sz="4" w:space="0" w:color="auto"/>
              <w:bottom w:val="doub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Sadržaj hlorida, sulfida i sulfata</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w:t>
            </w:r>
          </w:p>
        </w:tc>
        <w:tc>
          <w:tcPr>
            <w:tcW w:w="1080" w:type="dxa"/>
            <w:tcBorders>
              <w:top w:val="single" w:sz="4" w:space="0" w:color="auto"/>
              <w:left w:val="single" w:sz="4" w:space="0" w:color="auto"/>
              <w:bottom w:val="double" w:sz="4" w:space="0" w:color="auto"/>
              <w:right w:val="sing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16</w:t>
            </w:r>
          </w:p>
        </w:tc>
        <w:tc>
          <w:tcPr>
            <w:tcW w:w="4860" w:type="dxa"/>
            <w:gridSpan w:val="3"/>
            <w:tcBorders>
              <w:top w:val="single" w:sz="4" w:space="0" w:color="auto"/>
              <w:left w:val="single" w:sz="4" w:space="0" w:color="auto"/>
              <w:bottom w:val="double" w:sz="4" w:space="0" w:color="auto"/>
              <w:right w:val="double" w:sz="4" w:space="0" w:color="auto"/>
            </w:tcBorders>
            <w:vAlign w:val="center"/>
          </w:tcPr>
          <w:p w:rsidR="00454387" w:rsidRPr="00AE5C99" w:rsidRDefault="00454387" w:rsidP="00AE5C99">
            <w:pPr>
              <w:spacing w:after="120" w:line="240" w:lineRule="auto"/>
              <w:jc w:val="center"/>
              <w:rPr>
                <w:rFonts w:ascii="Arial" w:hAnsi="Arial" w:cs="Arial"/>
                <w:noProof/>
                <w:lang w:val="sr-Latn-CS"/>
              </w:rPr>
            </w:pPr>
            <w:r w:rsidRPr="00AE5C99">
              <w:rPr>
                <w:rFonts w:ascii="Arial" w:hAnsi="Arial" w:cs="Arial"/>
                <w:noProof/>
                <w:lang w:val="sr-Latn-CS"/>
              </w:rPr>
              <w:t>ne sadrži</w:t>
            </w:r>
          </w:p>
        </w:tc>
      </w:tr>
    </w:tbl>
    <w:p w:rsidR="00BA158D" w:rsidRPr="00AE5C99" w:rsidRDefault="00BA158D" w:rsidP="00AE5C99">
      <w:pPr>
        <w:spacing w:after="0" w:line="240" w:lineRule="auto"/>
        <w:jc w:val="both"/>
        <w:rPr>
          <w:rFonts w:ascii="Arial" w:hAnsi="Arial" w:cs="Arial"/>
          <w:noProof/>
          <w:lang w:val="sr-Latn-CS"/>
        </w:rPr>
      </w:pPr>
    </w:p>
    <w:p w:rsidR="00454387" w:rsidRPr="00AE5C99" w:rsidRDefault="00454387" w:rsidP="00AE5C99">
      <w:pPr>
        <w:spacing w:after="0" w:line="240" w:lineRule="auto"/>
        <w:jc w:val="both"/>
        <w:rPr>
          <w:rFonts w:ascii="Arial" w:hAnsi="Arial" w:cs="Arial"/>
          <w:noProof/>
          <w:lang w:val="sr-Latn-CS"/>
        </w:rPr>
      </w:pPr>
      <w:r w:rsidRPr="00AE5C99">
        <w:rPr>
          <w:rFonts w:ascii="Arial" w:hAnsi="Arial" w:cs="Arial"/>
          <w:noProof/>
          <w:lang w:val="sr-Latn-CS"/>
        </w:rPr>
        <w:t>Na osnovu dobijenih rezultata, a saglasno utvrđenim svojstvima i odredbama odgovarajućih standarda, tehn</w:t>
      </w:r>
      <w:r w:rsidR="0096066D" w:rsidRPr="00AE5C99">
        <w:rPr>
          <w:rFonts w:ascii="Arial" w:hAnsi="Arial" w:cs="Arial"/>
          <w:noProof/>
          <w:lang w:val="sr-Latn-CS"/>
        </w:rPr>
        <w:t>ičko-građevinski kamen ležišta „</w:t>
      </w:r>
      <w:r w:rsidRPr="00AE5C99">
        <w:rPr>
          <w:rFonts w:ascii="Arial" w:hAnsi="Arial" w:cs="Arial"/>
          <w:noProof/>
          <w:lang w:val="sr-Latn-CS"/>
        </w:rPr>
        <w:t>Velji Zabio” se može upotrijebiti kao tehničko-građevinski kamen za:</w:t>
      </w:r>
    </w:p>
    <w:p w:rsidR="0096066D" w:rsidRPr="00AE5C99" w:rsidRDefault="0096066D" w:rsidP="00AE5C99">
      <w:pPr>
        <w:spacing w:after="0" w:line="240" w:lineRule="auto"/>
        <w:jc w:val="both"/>
        <w:rPr>
          <w:rFonts w:ascii="Arial" w:hAnsi="Arial" w:cs="Arial"/>
          <w:noProof/>
          <w:lang w:val="sr-Latn-CS"/>
        </w:rPr>
      </w:pP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izradu betona (JUS B.B2.009),</w:t>
      </w: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izradu habajućih slojeva od asfaltnih betona po vrućem postupku za puteve sa lakim i vrlo lakim saobraćajnim opterećenjem  (JUS U.E4.014),</w:t>
      </w: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klasične i savremene podloge za puteve (JUS U.E9.020),</w:t>
      </w: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gornje i donje noseće slojeve od bituminiziranog materijala po vrućem postupku (JUS U.E9.021 i JUS U.E9.028),</w:t>
      </w: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lastRenderedPageBreak/>
        <w:t>proizvodnju tucanika kategorije II za zastor željezničkih pruga (Uputstvo za prijem i isporuku tucanika za zastor pruga na JŽ), i</w:t>
      </w:r>
    </w:p>
    <w:p w:rsidR="00454387" w:rsidRPr="00AE5C99" w:rsidRDefault="00454387"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lomljenog kamena i tesanika za gruba zidanja u niskogradnji i hidrogradnji.</w:t>
      </w:r>
    </w:p>
    <w:p w:rsidR="0096066D" w:rsidRPr="00AE5C99" w:rsidRDefault="0096066D" w:rsidP="00AE5C99">
      <w:pPr>
        <w:pStyle w:val="BodyText"/>
        <w:spacing w:after="0" w:line="240" w:lineRule="auto"/>
        <w:jc w:val="both"/>
        <w:rPr>
          <w:rFonts w:ascii="Arial" w:hAnsi="Arial" w:cs="Arial"/>
          <w:noProof/>
          <w:lang w:val="sr-Latn-CS"/>
        </w:rPr>
      </w:pPr>
    </w:p>
    <w:p w:rsidR="002E4676" w:rsidRPr="00AE5C99" w:rsidRDefault="006A68F3" w:rsidP="00AE5C99">
      <w:pPr>
        <w:pStyle w:val="Heading1"/>
        <w:numPr>
          <w:ilvl w:val="0"/>
          <w:numId w:val="18"/>
        </w:numPr>
        <w:ind w:left="360"/>
        <w:rPr>
          <w:noProof/>
          <w:lang w:val="sr-Latn-CS"/>
        </w:rPr>
      </w:pPr>
      <w:bookmarkStart w:id="2" w:name="_Toc4581257"/>
      <w:r w:rsidRPr="00AE5C99">
        <w:rPr>
          <w:noProof/>
          <w:lang w:val="sr-Latn-CS"/>
        </w:rPr>
        <w:t>ROK TRAJANJA KONCESIJE</w:t>
      </w:r>
      <w:bookmarkEnd w:id="2"/>
    </w:p>
    <w:p w:rsidR="00D021C0" w:rsidRPr="00AE5C99" w:rsidRDefault="00D021C0" w:rsidP="00AE5C99">
      <w:pPr>
        <w:pStyle w:val="BodyText"/>
        <w:spacing w:after="0" w:line="240" w:lineRule="auto"/>
        <w:jc w:val="both"/>
        <w:rPr>
          <w:rFonts w:ascii="Arial" w:hAnsi="Arial" w:cs="Arial"/>
          <w:noProof/>
          <w:lang w:val="sr-Latn-CS"/>
        </w:rPr>
      </w:pPr>
    </w:p>
    <w:p w:rsidR="00A85E72" w:rsidRPr="00AE5C99" w:rsidRDefault="00A85E7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Rok trajanja eksploatacije mineralne sirovine (vijek eksploatacije) zavisi od utvrđenih rezervi istih, godišnjeg kapaciteta eksploatacije i od zahtjeva tržišta.</w:t>
      </w:r>
    </w:p>
    <w:p w:rsidR="00D021C0" w:rsidRPr="00AE5C99" w:rsidRDefault="00D021C0" w:rsidP="00AE5C99">
      <w:pPr>
        <w:pStyle w:val="BodyText"/>
        <w:spacing w:after="0" w:line="240" w:lineRule="auto"/>
        <w:jc w:val="both"/>
        <w:rPr>
          <w:rFonts w:ascii="Arial" w:hAnsi="Arial" w:cs="Arial"/>
          <w:noProof/>
          <w:lang w:val="sr-Latn-CS"/>
        </w:rPr>
      </w:pPr>
    </w:p>
    <w:p w:rsidR="00913DB8" w:rsidRPr="00AE5C99" w:rsidRDefault="00913DB8"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Ovim koncesionim aktom daje se maksimalni rok koncesije za eksploataciju tehničko-građevinskog kamen</w:t>
      </w:r>
      <w:r w:rsidR="00107794" w:rsidRPr="00AE5C99">
        <w:rPr>
          <w:rFonts w:ascii="Arial" w:hAnsi="Arial" w:cs="Arial"/>
          <w:noProof/>
          <w:lang w:val="sr-Latn-CS"/>
        </w:rPr>
        <w:t xml:space="preserve">a </w:t>
      </w:r>
      <w:r w:rsidR="00454387" w:rsidRPr="00AE5C99">
        <w:rPr>
          <w:rFonts w:ascii="Arial" w:hAnsi="Arial" w:cs="Arial"/>
          <w:noProof/>
          <w:lang w:val="sr-Latn-CS"/>
        </w:rPr>
        <w:t>na ležištu</w:t>
      </w:r>
      <w:r w:rsidR="00107794" w:rsidRPr="00AE5C99">
        <w:rPr>
          <w:rFonts w:ascii="Arial" w:hAnsi="Arial" w:cs="Arial"/>
          <w:noProof/>
          <w:lang w:val="sr-Latn-CS"/>
        </w:rPr>
        <w:t xml:space="preserve"> </w:t>
      </w:r>
      <w:r w:rsidR="0096066D" w:rsidRPr="00AE5C99">
        <w:rPr>
          <w:rFonts w:ascii="Arial" w:hAnsi="Arial" w:cs="Arial"/>
          <w:noProof/>
          <w:lang w:val="sr-Latn-CS"/>
        </w:rPr>
        <w:t>„</w:t>
      </w:r>
      <w:r w:rsidR="001D297B" w:rsidRPr="00AE5C99">
        <w:rPr>
          <w:rFonts w:ascii="Arial" w:hAnsi="Arial" w:cs="Arial"/>
          <w:noProof/>
          <w:lang w:val="sr-Latn-CS"/>
        </w:rPr>
        <w:t>Velji Zabio”</w:t>
      </w:r>
      <w:r w:rsidR="001966E1" w:rsidRPr="00AE5C99">
        <w:rPr>
          <w:rFonts w:ascii="Arial" w:hAnsi="Arial" w:cs="Arial"/>
          <w:noProof/>
          <w:lang w:val="sr-Latn-CS"/>
        </w:rPr>
        <w:t xml:space="preserve"> </w:t>
      </w:r>
      <w:r w:rsidRPr="00AE5C99">
        <w:rPr>
          <w:rFonts w:ascii="Arial" w:hAnsi="Arial" w:cs="Arial"/>
          <w:noProof/>
          <w:lang w:val="sr-Latn-CS"/>
        </w:rPr>
        <w:t xml:space="preserve">na period od 30 godina, sa minimalnom godišnjom proizvodnjom od </w:t>
      </w:r>
      <w:r w:rsidR="0013707F" w:rsidRPr="00AE5C99">
        <w:rPr>
          <w:rFonts w:ascii="Arial" w:hAnsi="Arial" w:cs="Arial"/>
          <w:noProof/>
          <w:lang w:val="sr-Latn-CS"/>
        </w:rPr>
        <w:t>20</w:t>
      </w:r>
      <w:r w:rsidRPr="00AE5C99">
        <w:rPr>
          <w:rFonts w:ascii="Arial" w:hAnsi="Arial" w:cs="Arial"/>
          <w:noProof/>
          <w:lang w:val="sr-Latn-CS"/>
        </w:rPr>
        <w:t>.000 m</w:t>
      </w:r>
      <w:r w:rsidRPr="00AE5C99">
        <w:rPr>
          <w:rFonts w:ascii="Arial" w:hAnsi="Arial" w:cs="Arial"/>
          <w:noProof/>
          <w:vertAlign w:val="superscript"/>
          <w:lang w:val="sr-Latn-CS"/>
        </w:rPr>
        <w:t>3</w:t>
      </w:r>
      <w:r w:rsidR="00785C23" w:rsidRPr="00AE5C99">
        <w:rPr>
          <w:rFonts w:ascii="Arial" w:hAnsi="Arial" w:cs="Arial"/>
          <w:noProof/>
          <w:lang w:val="sr-Latn-CS"/>
        </w:rPr>
        <w:t xml:space="preserve"> </w:t>
      </w:r>
      <w:r w:rsidRPr="00AE5C99">
        <w:rPr>
          <w:rFonts w:ascii="Arial" w:hAnsi="Arial" w:cs="Arial"/>
          <w:noProof/>
          <w:lang w:val="sr-Latn-CS"/>
        </w:rPr>
        <w:t xml:space="preserve">č.s.m., odnosno oko </w:t>
      </w:r>
      <w:r w:rsidR="0013707F" w:rsidRPr="00AE5C99">
        <w:rPr>
          <w:rFonts w:ascii="Arial" w:hAnsi="Arial" w:cs="Arial"/>
          <w:noProof/>
          <w:lang w:val="sr-Latn-CS"/>
        </w:rPr>
        <w:t>30</w:t>
      </w:r>
      <w:r w:rsidRPr="00AE5C99">
        <w:rPr>
          <w:rFonts w:ascii="Arial" w:hAnsi="Arial" w:cs="Arial"/>
          <w:noProof/>
          <w:lang w:val="sr-Latn-CS"/>
        </w:rPr>
        <w:t>.000 m</w:t>
      </w:r>
      <w:r w:rsidRPr="00AE5C99">
        <w:rPr>
          <w:rFonts w:ascii="Arial" w:hAnsi="Arial" w:cs="Arial"/>
          <w:noProof/>
          <w:vertAlign w:val="superscript"/>
          <w:lang w:val="sr-Latn-CS"/>
        </w:rPr>
        <w:t>3</w:t>
      </w:r>
      <w:r w:rsidRPr="00AE5C99">
        <w:rPr>
          <w:rFonts w:ascii="Arial" w:hAnsi="Arial" w:cs="Arial"/>
          <w:noProof/>
          <w:lang w:val="sr-Latn-CS"/>
        </w:rPr>
        <w:t xml:space="preserve"> agregata različitih frakcija. </w:t>
      </w:r>
    </w:p>
    <w:p w:rsidR="0096066D" w:rsidRPr="00AE5C99" w:rsidRDefault="0096066D" w:rsidP="00AE5C99">
      <w:pPr>
        <w:pStyle w:val="BodyText"/>
        <w:spacing w:after="0" w:line="240" w:lineRule="auto"/>
        <w:jc w:val="both"/>
        <w:rPr>
          <w:rFonts w:ascii="Arial" w:hAnsi="Arial" w:cs="Arial"/>
          <w:noProof/>
          <w:lang w:val="sr-Latn-CS"/>
        </w:rPr>
      </w:pPr>
    </w:p>
    <w:p w:rsidR="00913DB8" w:rsidRPr="00AE5C99" w:rsidRDefault="00913DB8"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Koncesija za eksploataciju tehničko-građevinskog kamena iz </w:t>
      </w:r>
      <w:r w:rsidR="0013707F" w:rsidRPr="00AE5C99">
        <w:rPr>
          <w:rFonts w:ascii="Arial" w:hAnsi="Arial" w:cs="Arial"/>
          <w:noProof/>
          <w:lang w:val="sr-Latn-CS"/>
        </w:rPr>
        <w:t xml:space="preserve">lokaliteta </w:t>
      </w:r>
      <w:r w:rsidR="0096066D" w:rsidRPr="00AE5C99">
        <w:rPr>
          <w:rFonts w:ascii="Arial" w:hAnsi="Arial" w:cs="Arial"/>
          <w:noProof/>
          <w:lang w:val="sr-Latn-CS"/>
        </w:rPr>
        <w:t>„</w:t>
      </w:r>
      <w:r w:rsidR="001D297B" w:rsidRPr="00AE5C99">
        <w:rPr>
          <w:rFonts w:ascii="Arial" w:hAnsi="Arial" w:cs="Arial"/>
          <w:noProof/>
          <w:lang w:val="sr-Latn-CS"/>
        </w:rPr>
        <w:t>Velji Zabio”</w:t>
      </w:r>
      <w:r w:rsidRPr="00AE5C99">
        <w:rPr>
          <w:rFonts w:ascii="Arial" w:hAnsi="Arial" w:cs="Arial"/>
          <w:noProof/>
          <w:lang w:val="sr-Latn-CS"/>
        </w:rPr>
        <w:t xml:space="preserve"> daje se na maksimalni period od 30 godina, od čega: </w:t>
      </w:r>
    </w:p>
    <w:p w:rsidR="00D021C0" w:rsidRPr="00AE5C99" w:rsidRDefault="00D021C0" w:rsidP="00AE5C99">
      <w:pPr>
        <w:pStyle w:val="BodyText"/>
        <w:spacing w:after="0" w:line="240" w:lineRule="auto"/>
        <w:jc w:val="both"/>
        <w:rPr>
          <w:rFonts w:ascii="Arial" w:hAnsi="Arial" w:cs="Arial"/>
          <w:noProof/>
          <w:lang w:val="sr-Latn-CS"/>
        </w:rPr>
      </w:pPr>
    </w:p>
    <w:p w:rsidR="00913DB8" w:rsidRPr="00AE5C99" w:rsidRDefault="0063208D" w:rsidP="00AE5C99">
      <w:pPr>
        <w:pStyle w:val="ListParagraph"/>
        <w:numPr>
          <w:ilvl w:val="0"/>
          <w:numId w:val="20"/>
        </w:numPr>
        <w:shd w:val="clear" w:color="auto" w:fill="FFFFFF"/>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 xml:space="preserve">šest </w:t>
      </w:r>
      <w:r w:rsidR="00084265" w:rsidRPr="00AE5C99">
        <w:rPr>
          <w:rFonts w:ascii="Arial" w:eastAsia="Times New Roman" w:hAnsi="Arial" w:cs="Arial"/>
          <w:noProof/>
          <w:lang w:val="sr-Latn-CS"/>
        </w:rPr>
        <w:t xml:space="preserve">(6) </w:t>
      </w:r>
      <w:r w:rsidRPr="00AE5C99">
        <w:rPr>
          <w:rFonts w:ascii="Arial" w:eastAsia="Times New Roman" w:hAnsi="Arial" w:cs="Arial"/>
          <w:noProof/>
          <w:lang w:val="sr-Latn-CS"/>
        </w:rPr>
        <w:t>mjeseci</w:t>
      </w:r>
      <w:r w:rsidR="00913DB8" w:rsidRPr="00AE5C99">
        <w:rPr>
          <w:rFonts w:ascii="Arial" w:eastAsia="Times New Roman" w:hAnsi="Arial" w:cs="Arial"/>
          <w:noProof/>
          <w:lang w:val="sr-Latn-CS"/>
        </w:rPr>
        <w:t xml:space="preserve"> za detaljna geološka istraživanja, </w:t>
      </w:r>
    </w:p>
    <w:p w:rsidR="00913DB8" w:rsidRPr="00AE5C99" w:rsidRDefault="0063208D" w:rsidP="00AE5C99">
      <w:pPr>
        <w:pStyle w:val="ListParagraph"/>
        <w:numPr>
          <w:ilvl w:val="0"/>
          <w:numId w:val="19"/>
        </w:numPr>
        <w:shd w:val="clear" w:color="auto" w:fill="FFFFFF"/>
        <w:spacing w:after="0" w:line="240" w:lineRule="auto"/>
        <w:contextualSpacing w:val="0"/>
        <w:jc w:val="both"/>
        <w:rPr>
          <w:rFonts w:ascii="Arial" w:eastAsia="Times New Roman" w:hAnsi="Arial" w:cs="Arial"/>
          <w:noProof/>
          <w:lang w:val="sr-Latn-CS"/>
        </w:rPr>
      </w:pPr>
      <w:r w:rsidRPr="00AE5C99">
        <w:rPr>
          <w:rFonts w:ascii="Arial" w:hAnsi="Arial" w:cs="Arial"/>
          <w:noProof/>
          <w:lang w:val="sr-Latn-CS"/>
        </w:rPr>
        <w:t>šest</w:t>
      </w:r>
      <w:r w:rsidR="00084265" w:rsidRPr="00AE5C99">
        <w:rPr>
          <w:rFonts w:ascii="Arial" w:hAnsi="Arial" w:cs="Arial"/>
          <w:noProof/>
          <w:lang w:val="sr-Latn-CS"/>
        </w:rPr>
        <w:t xml:space="preserve"> </w:t>
      </w:r>
      <w:r w:rsidR="00295CAB" w:rsidRPr="00AE5C99">
        <w:rPr>
          <w:rFonts w:ascii="Arial" w:hAnsi="Arial" w:cs="Arial"/>
          <w:noProof/>
          <w:lang w:val="sr-Latn-CS"/>
        </w:rPr>
        <w:t>(</w:t>
      </w:r>
      <w:r w:rsidR="00084265" w:rsidRPr="00AE5C99">
        <w:rPr>
          <w:rFonts w:ascii="Arial" w:hAnsi="Arial" w:cs="Arial"/>
          <w:noProof/>
          <w:lang w:val="sr-Latn-CS"/>
        </w:rPr>
        <w:t xml:space="preserve">6) </w:t>
      </w:r>
      <w:r w:rsidRPr="00AE5C99">
        <w:rPr>
          <w:rFonts w:ascii="Arial" w:hAnsi="Arial" w:cs="Arial"/>
          <w:noProof/>
          <w:lang w:val="sr-Latn-CS"/>
        </w:rPr>
        <w:t>mjeseci</w:t>
      </w:r>
      <w:r w:rsidR="00913DB8" w:rsidRPr="00AE5C99">
        <w:rPr>
          <w:rFonts w:ascii="Arial" w:hAnsi="Arial" w:cs="Arial"/>
          <w:noProof/>
          <w:lang w:val="sr-Latn-CS"/>
        </w:rPr>
        <w:t xml:space="preserve"> za: izradu rudarske dokumentacije, pribavljanja odobrenja, saglasnosti i dozvola za izvođenje radova po istoj, pripremu ležišta za eksploataciju, instaliranje postrojenja i opreme potrebne za eksploataciju, kao i pribavljanje upotrebne dozvole za izgrađene objekte, </w:t>
      </w:r>
    </w:p>
    <w:p w:rsidR="00913DB8" w:rsidRPr="00AE5C99" w:rsidRDefault="0063208D" w:rsidP="00AE5C99">
      <w:pPr>
        <w:pStyle w:val="ListParagraph"/>
        <w:numPr>
          <w:ilvl w:val="0"/>
          <w:numId w:val="19"/>
        </w:numPr>
        <w:shd w:val="clear" w:color="auto" w:fill="FFFFFF"/>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29</w:t>
      </w:r>
      <w:r w:rsidR="00913DB8" w:rsidRPr="00AE5C99">
        <w:rPr>
          <w:rFonts w:ascii="Arial" w:eastAsia="Times New Roman" w:hAnsi="Arial" w:cs="Arial"/>
          <w:noProof/>
          <w:lang w:val="sr-Latn-CS"/>
        </w:rPr>
        <w:t xml:space="preserve"> (dvadeset </w:t>
      </w:r>
      <w:r w:rsidR="009922B4" w:rsidRPr="00AE5C99">
        <w:rPr>
          <w:rFonts w:ascii="Arial" w:eastAsia="Times New Roman" w:hAnsi="Arial" w:cs="Arial"/>
          <w:noProof/>
          <w:lang w:val="sr-Latn-CS"/>
        </w:rPr>
        <w:t>devet)</w:t>
      </w:r>
      <w:r w:rsidR="00913DB8" w:rsidRPr="00AE5C99">
        <w:rPr>
          <w:rFonts w:ascii="Arial" w:eastAsia="Times New Roman" w:hAnsi="Arial" w:cs="Arial"/>
          <w:noProof/>
          <w:lang w:val="sr-Latn-CS"/>
        </w:rPr>
        <w:t xml:space="preserve"> godina za eksploataciju mineralne sirovine.</w:t>
      </w:r>
    </w:p>
    <w:p w:rsidR="00CE396D" w:rsidRPr="00AE5C99" w:rsidRDefault="00CE396D" w:rsidP="00AE5C99">
      <w:pPr>
        <w:shd w:val="clear" w:color="auto" w:fill="FFFFFF"/>
        <w:spacing w:after="0" w:line="240" w:lineRule="auto"/>
        <w:jc w:val="both"/>
        <w:rPr>
          <w:rFonts w:ascii="Arial" w:eastAsia="Times New Roman" w:hAnsi="Arial" w:cs="Arial"/>
          <w:noProof/>
          <w:lang w:val="sr-Latn-CS"/>
        </w:rPr>
      </w:pPr>
    </w:p>
    <w:p w:rsidR="00CE396D" w:rsidRPr="00AE5C99" w:rsidRDefault="00CE396D" w:rsidP="00AE5C99">
      <w:pPr>
        <w:shd w:val="clear" w:color="auto" w:fill="FFFFFF"/>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Ukupan koncesioni period, koji obuhvata sve gore navedene faze, ne prelazi zakonom definisan rok trajanja koncesije od 30 godina</w:t>
      </w:r>
      <w:r w:rsidR="000C64D1">
        <w:rPr>
          <w:rFonts w:ascii="Arial" w:eastAsia="Times New Roman" w:hAnsi="Arial" w:cs="Arial"/>
          <w:noProof/>
          <w:lang w:val="sr-Latn-CS"/>
        </w:rPr>
        <w:t>.</w:t>
      </w:r>
    </w:p>
    <w:p w:rsidR="00D021C0" w:rsidRPr="00AE5C99" w:rsidRDefault="00D021C0" w:rsidP="00AE5C99">
      <w:pPr>
        <w:pStyle w:val="BodyText"/>
        <w:spacing w:after="0" w:line="240" w:lineRule="auto"/>
        <w:jc w:val="both"/>
        <w:rPr>
          <w:rFonts w:ascii="Arial" w:hAnsi="Arial" w:cs="Arial"/>
          <w:noProof/>
          <w:lang w:val="sr-Latn-CS"/>
        </w:rPr>
      </w:pPr>
    </w:p>
    <w:p w:rsidR="00AC0094" w:rsidRPr="00AE5C99" w:rsidRDefault="00AC0094"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Rok trajanja faze detaljnih geoloških istraživanja i izrade rudarske i tehničke dokumentacije i pripremnih radova se ne može mijenjati.</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3" w:name="_Toc402262934"/>
      <w:bookmarkStart w:id="4" w:name="_Toc4581258"/>
      <w:r w:rsidRPr="00AE5C99">
        <w:rPr>
          <w:noProof/>
          <w:lang w:val="sr-Latn-CS"/>
        </w:rPr>
        <w:t>OSNOVNI PARAMETRI ZA OCJENU EKONOMSKE OPRAVDANOSTI INVESTICIJE</w:t>
      </w:r>
      <w:bookmarkEnd w:id="3"/>
      <w:bookmarkEnd w:id="4"/>
    </w:p>
    <w:p w:rsidR="00D021C0" w:rsidRPr="00AE5C99" w:rsidRDefault="00D021C0" w:rsidP="00AE5C99">
      <w:pPr>
        <w:pStyle w:val="ListParagraph"/>
        <w:spacing w:after="0" w:line="240" w:lineRule="auto"/>
        <w:ind w:left="0"/>
        <w:rPr>
          <w:rFonts w:ascii="Arial" w:hAnsi="Arial" w:cs="Arial"/>
          <w:i/>
          <w:noProof/>
          <w:u w:val="single"/>
          <w:lang w:val="sr-Latn-CS"/>
        </w:rPr>
      </w:pPr>
    </w:p>
    <w:p w:rsidR="00CE396D" w:rsidRPr="00AE5C99" w:rsidRDefault="00D620F2" w:rsidP="00AE5C99">
      <w:pPr>
        <w:pStyle w:val="ListParagraph"/>
        <w:spacing w:after="0" w:line="240" w:lineRule="auto"/>
        <w:ind w:left="0"/>
        <w:rPr>
          <w:rFonts w:ascii="Arial" w:hAnsi="Arial" w:cs="Arial"/>
          <w:i/>
          <w:noProof/>
          <w:u w:val="single"/>
          <w:lang w:val="sr-Latn-CS"/>
        </w:rPr>
      </w:pPr>
      <w:r w:rsidRPr="00AE5C99">
        <w:rPr>
          <w:rFonts w:ascii="Arial" w:hAnsi="Arial" w:cs="Arial"/>
          <w:i/>
          <w:noProof/>
          <w:u w:val="single"/>
          <w:lang w:val="sr-Latn-CS"/>
        </w:rPr>
        <w:t>Opis tehničko-tehnološkog procesa eksploatacije</w:t>
      </w:r>
    </w:p>
    <w:p w:rsidR="00CE396D" w:rsidRPr="00AE5C99" w:rsidRDefault="00CE396D" w:rsidP="00AE5C99">
      <w:pPr>
        <w:pStyle w:val="ListParagraph"/>
        <w:spacing w:after="0" w:line="240" w:lineRule="auto"/>
        <w:ind w:left="0"/>
        <w:rPr>
          <w:rFonts w:ascii="Arial" w:hAnsi="Arial" w:cs="Arial"/>
          <w:i/>
          <w:noProof/>
          <w:u w:val="single"/>
          <w:lang w:val="sr-Latn-CS"/>
        </w:rPr>
      </w:pPr>
    </w:p>
    <w:p w:rsidR="00D620F2" w:rsidRPr="00AE5C99" w:rsidRDefault="00D620F2" w:rsidP="00AE5C99">
      <w:pPr>
        <w:pStyle w:val="ListParagraph"/>
        <w:spacing w:after="0" w:line="240" w:lineRule="auto"/>
        <w:ind w:left="0"/>
        <w:jc w:val="both"/>
        <w:rPr>
          <w:rFonts w:ascii="Arial" w:hAnsi="Arial" w:cs="Arial"/>
          <w:noProof/>
          <w:lang w:val="sr-Latn-CS"/>
        </w:rPr>
      </w:pPr>
      <w:r w:rsidRPr="00AE5C99">
        <w:rPr>
          <w:rFonts w:ascii="Arial" w:hAnsi="Arial" w:cs="Arial"/>
          <w:noProof/>
          <w:lang w:val="sr-Latn-CS"/>
        </w:rPr>
        <w:t>U ovom poglavlju daju se osnovni parametri koji treba da posluže ponuđačima, odnosno potencijalnim investitorima pri obradi proizvodnog i ekonomsk</w:t>
      </w:r>
      <w:r w:rsidR="003F58F1" w:rsidRPr="00AE5C99">
        <w:rPr>
          <w:rFonts w:ascii="Arial" w:hAnsi="Arial" w:cs="Arial"/>
          <w:noProof/>
          <w:lang w:val="sr-Latn-CS"/>
        </w:rPr>
        <w:t>og aspekta</w:t>
      </w:r>
      <w:r w:rsidRPr="00AE5C99">
        <w:rPr>
          <w:rFonts w:ascii="Arial" w:hAnsi="Arial" w:cs="Arial"/>
          <w:noProof/>
          <w:lang w:val="sr-Latn-CS"/>
        </w:rPr>
        <w:t xml:space="preserve"> ponude i tehn</w:t>
      </w:r>
      <w:r w:rsidR="00E530C1" w:rsidRPr="00AE5C99">
        <w:rPr>
          <w:rFonts w:ascii="Arial" w:hAnsi="Arial" w:cs="Arial"/>
          <w:noProof/>
          <w:lang w:val="sr-Latn-CS"/>
        </w:rPr>
        <w:t>ičko</w:t>
      </w:r>
      <w:r w:rsidRPr="00AE5C99">
        <w:rPr>
          <w:rFonts w:ascii="Arial" w:hAnsi="Arial" w:cs="Arial"/>
          <w:noProof/>
          <w:lang w:val="sr-Latn-CS"/>
        </w:rPr>
        <w:t>-ekonomske ocjene opravdanosti ove investicije.</w:t>
      </w:r>
    </w:p>
    <w:p w:rsidR="00045BF7" w:rsidRPr="00AE5C99" w:rsidRDefault="00045BF7" w:rsidP="00AE5C99">
      <w:pPr>
        <w:pStyle w:val="BodyText"/>
        <w:spacing w:after="0" w:line="240" w:lineRule="auto"/>
        <w:jc w:val="both"/>
        <w:rPr>
          <w:rFonts w:ascii="Arial" w:hAnsi="Arial" w:cs="Arial"/>
          <w:noProof/>
          <w:lang w:val="sr-Latn-CS"/>
        </w:rPr>
      </w:pPr>
    </w:p>
    <w:p w:rsidR="00D620F2" w:rsidRPr="00AE5C99" w:rsidRDefault="00E21B44" w:rsidP="00AE5C99">
      <w:pPr>
        <w:pStyle w:val="Heading2"/>
        <w:spacing w:before="0" w:after="0" w:line="240" w:lineRule="auto"/>
        <w:ind w:left="576" w:hanging="576"/>
        <w:rPr>
          <w:b/>
          <w:i/>
          <w:noProof/>
          <w:lang w:val="sr-Latn-CS"/>
        </w:rPr>
      </w:pPr>
      <w:bookmarkStart w:id="5" w:name="_Toc402262936"/>
      <w:r w:rsidRPr="00AE5C99">
        <w:rPr>
          <w:b/>
          <w:i/>
          <w:noProof/>
          <w:lang w:val="sr-Latn-CS"/>
        </w:rPr>
        <w:t>3</w:t>
      </w:r>
      <w:r w:rsidR="00472C68" w:rsidRPr="00AE5C99">
        <w:rPr>
          <w:b/>
          <w:i/>
          <w:noProof/>
          <w:lang w:val="sr-Latn-CS"/>
        </w:rPr>
        <w:t xml:space="preserve">.1. </w:t>
      </w:r>
      <w:r w:rsidR="00D620F2" w:rsidRPr="00AE5C99">
        <w:rPr>
          <w:b/>
          <w:i/>
          <w:noProof/>
          <w:lang w:val="sr-Latn-CS"/>
        </w:rPr>
        <w:t>Ocjena mogućnosti korišćenja mineralne sirovine</w:t>
      </w:r>
      <w:bookmarkEnd w:id="5"/>
    </w:p>
    <w:p w:rsidR="00D620F2" w:rsidRPr="00AE5C99" w:rsidRDefault="00D620F2" w:rsidP="00AE5C99">
      <w:pPr>
        <w:spacing w:after="0" w:line="240" w:lineRule="auto"/>
        <w:rPr>
          <w:rFonts w:ascii="Arial" w:hAnsi="Arial" w:cs="Arial"/>
          <w:noProof/>
          <w:lang w:val="sr-Latn-CS"/>
        </w:rPr>
      </w:pPr>
    </w:p>
    <w:p w:rsidR="00D620F2" w:rsidRPr="00AE5C99" w:rsidRDefault="00787A0E" w:rsidP="00AE5C99">
      <w:pPr>
        <w:shd w:val="clear" w:color="auto" w:fill="FFFFFF" w:themeFill="background1"/>
        <w:spacing w:after="0" w:line="240" w:lineRule="auto"/>
        <w:jc w:val="both"/>
        <w:rPr>
          <w:rFonts w:ascii="Arial" w:hAnsi="Arial" w:cs="Arial"/>
          <w:noProof/>
          <w:lang w:val="sr-Latn-CS"/>
        </w:rPr>
      </w:pPr>
      <w:r w:rsidRPr="00AE5C99">
        <w:rPr>
          <w:rFonts w:ascii="Arial" w:hAnsi="Arial" w:cs="Arial"/>
          <w:noProof/>
          <w:lang w:val="sr-Latn-CS"/>
        </w:rPr>
        <w:t>U poglavlju 1</w:t>
      </w:r>
      <w:r w:rsidR="00D620F2" w:rsidRPr="00AE5C99">
        <w:rPr>
          <w:rFonts w:ascii="Arial" w:hAnsi="Arial" w:cs="Arial"/>
          <w:noProof/>
          <w:lang w:val="sr-Latn-CS"/>
        </w:rPr>
        <w:t>.</w:t>
      </w:r>
      <w:r w:rsidR="00B154E8" w:rsidRPr="00AE5C99">
        <w:rPr>
          <w:rFonts w:ascii="Arial" w:hAnsi="Arial" w:cs="Arial"/>
          <w:noProof/>
          <w:lang w:val="sr-Latn-CS"/>
        </w:rPr>
        <w:t>1</w:t>
      </w:r>
      <w:r w:rsidR="003A2272" w:rsidRPr="00AE5C99">
        <w:rPr>
          <w:rFonts w:ascii="Arial" w:hAnsi="Arial" w:cs="Arial"/>
          <w:noProof/>
          <w:lang w:val="sr-Latn-CS"/>
        </w:rPr>
        <w:t>0</w:t>
      </w:r>
      <w:r w:rsidR="003F58F1" w:rsidRPr="00AE5C99">
        <w:rPr>
          <w:rFonts w:ascii="Arial" w:hAnsi="Arial" w:cs="Arial"/>
          <w:noProof/>
          <w:lang w:val="sr-Latn-CS"/>
        </w:rPr>
        <w:t>.</w:t>
      </w:r>
      <w:r w:rsidR="0063208D" w:rsidRPr="00AE5C99">
        <w:rPr>
          <w:rFonts w:ascii="Arial" w:hAnsi="Arial" w:cs="Arial"/>
          <w:noProof/>
          <w:lang w:val="sr-Latn-CS"/>
        </w:rPr>
        <w:t xml:space="preserve"> </w:t>
      </w:r>
      <w:r w:rsidR="00D620F2" w:rsidRPr="00AE5C99">
        <w:rPr>
          <w:rFonts w:ascii="Arial" w:hAnsi="Arial" w:cs="Arial"/>
          <w:noProof/>
          <w:lang w:val="sr-Latn-CS"/>
        </w:rPr>
        <w:t xml:space="preserve">ovog akta date su rezerve i </w:t>
      </w:r>
      <w:r w:rsidR="00F57721" w:rsidRPr="00AE5C99">
        <w:rPr>
          <w:rFonts w:ascii="Arial" w:hAnsi="Arial" w:cs="Arial"/>
          <w:noProof/>
          <w:lang w:val="sr-Latn-CS"/>
        </w:rPr>
        <w:t xml:space="preserve">podaci o </w:t>
      </w:r>
      <w:r w:rsidR="00D620F2" w:rsidRPr="00AE5C99">
        <w:rPr>
          <w:rFonts w:ascii="Arial" w:hAnsi="Arial" w:cs="Arial"/>
          <w:noProof/>
          <w:lang w:val="sr-Latn-CS"/>
        </w:rPr>
        <w:t>kvalitet</w:t>
      </w:r>
      <w:r w:rsidR="00F57721" w:rsidRPr="00AE5C99">
        <w:rPr>
          <w:rFonts w:ascii="Arial" w:hAnsi="Arial" w:cs="Arial"/>
          <w:noProof/>
          <w:lang w:val="sr-Latn-CS"/>
        </w:rPr>
        <w:t>u</w:t>
      </w:r>
      <w:r w:rsidR="00D620F2" w:rsidRPr="00AE5C99">
        <w:rPr>
          <w:rFonts w:ascii="Arial" w:hAnsi="Arial" w:cs="Arial"/>
          <w:noProof/>
          <w:lang w:val="sr-Latn-CS"/>
        </w:rPr>
        <w:t xml:space="preserve"> mineralne sirovine</w:t>
      </w:r>
      <w:r w:rsidR="00F57721" w:rsidRPr="00AE5C99">
        <w:rPr>
          <w:rFonts w:ascii="Arial" w:hAnsi="Arial" w:cs="Arial"/>
          <w:noProof/>
          <w:lang w:val="sr-Latn-CS"/>
        </w:rPr>
        <w:t>.</w:t>
      </w:r>
    </w:p>
    <w:p w:rsidR="00D021C0" w:rsidRPr="00AE5C99" w:rsidRDefault="00D021C0" w:rsidP="00AE5C99">
      <w:pPr>
        <w:shd w:val="clear" w:color="auto" w:fill="FFFFFF" w:themeFill="background1"/>
        <w:spacing w:after="0" w:line="240" w:lineRule="auto"/>
        <w:jc w:val="both"/>
        <w:rPr>
          <w:rFonts w:ascii="Arial" w:hAnsi="Arial" w:cs="Arial"/>
          <w:noProof/>
          <w:lang w:val="sr-Latn-CS"/>
        </w:rPr>
      </w:pPr>
    </w:p>
    <w:p w:rsidR="00D021C0" w:rsidRPr="00AE5C99" w:rsidRDefault="00E21B44" w:rsidP="00AE5C99">
      <w:pPr>
        <w:pStyle w:val="Heading2"/>
        <w:shd w:val="clear" w:color="auto" w:fill="FFFFFF" w:themeFill="background1"/>
        <w:spacing w:before="0" w:after="200" w:line="240" w:lineRule="auto"/>
        <w:ind w:left="576" w:hanging="576"/>
        <w:rPr>
          <w:b/>
          <w:i/>
          <w:noProof/>
          <w:lang w:val="sr-Latn-CS"/>
        </w:rPr>
      </w:pPr>
      <w:bookmarkStart w:id="6" w:name="_Toc402262937"/>
      <w:r w:rsidRPr="00AE5C99">
        <w:rPr>
          <w:b/>
          <w:i/>
          <w:noProof/>
          <w:lang w:val="sr-Latn-CS"/>
        </w:rPr>
        <w:t>3</w:t>
      </w:r>
      <w:r w:rsidR="00472C68" w:rsidRPr="00AE5C99">
        <w:rPr>
          <w:b/>
          <w:i/>
          <w:noProof/>
          <w:lang w:val="sr-Latn-CS"/>
        </w:rPr>
        <w:t xml:space="preserve">.2. </w:t>
      </w:r>
      <w:r w:rsidR="00D620F2" w:rsidRPr="00AE5C99">
        <w:rPr>
          <w:b/>
          <w:i/>
          <w:noProof/>
          <w:lang w:val="sr-Latn-CS"/>
        </w:rPr>
        <w:t>Proizvodni kapacitet i vijek eksploatacije</w:t>
      </w:r>
      <w:bookmarkEnd w:id="6"/>
    </w:p>
    <w:p w:rsidR="008010DC" w:rsidRPr="00AE5C99" w:rsidRDefault="008010DC" w:rsidP="00AE5C99">
      <w:pPr>
        <w:spacing w:after="120" w:line="240" w:lineRule="auto"/>
        <w:jc w:val="both"/>
        <w:rPr>
          <w:rFonts w:ascii="Arial" w:hAnsi="Arial" w:cs="Arial"/>
          <w:noProof/>
          <w:lang w:val="sr-Latn-CS"/>
        </w:rPr>
      </w:pPr>
      <w:r w:rsidRPr="00AE5C99">
        <w:rPr>
          <w:rFonts w:ascii="Arial" w:hAnsi="Arial" w:cs="Arial"/>
          <w:noProof/>
          <w:lang w:val="sr-Latn-CS"/>
        </w:rPr>
        <w:t>Bilansne rezerve tehnič</w:t>
      </w:r>
      <w:r w:rsidR="0063208D" w:rsidRPr="00AE5C99">
        <w:rPr>
          <w:rFonts w:ascii="Arial" w:hAnsi="Arial" w:cs="Arial"/>
          <w:noProof/>
          <w:lang w:val="sr-Latn-CS"/>
        </w:rPr>
        <w:t>ko-građevinskog kamena ležišta „</w:t>
      </w:r>
      <w:r w:rsidR="00D26056" w:rsidRPr="00AE5C99">
        <w:rPr>
          <w:rFonts w:ascii="Arial" w:hAnsi="Arial" w:cs="Arial"/>
          <w:noProof/>
          <w:lang w:val="sr-Latn-CS"/>
        </w:rPr>
        <w:t>Velji Zabio</w:t>
      </w:r>
      <w:r w:rsidRPr="00AE5C99">
        <w:rPr>
          <w:rFonts w:ascii="Arial" w:hAnsi="Arial" w:cs="Arial"/>
          <w:noProof/>
          <w:lang w:val="sr-Latn-CS"/>
        </w:rPr>
        <w:t>” iznose 7.415.500 m</w:t>
      </w:r>
      <w:r w:rsidRPr="00AE5C99">
        <w:rPr>
          <w:rFonts w:ascii="Arial" w:hAnsi="Arial" w:cs="Arial"/>
          <w:noProof/>
          <w:vertAlign w:val="superscript"/>
          <w:lang w:val="sr-Latn-CS"/>
        </w:rPr>
        <w:t xml:space="preserve">3 </w:t>
      </w:r>
      <w:r w:rsidRPr="00AE5C99">
        <w:rPr>
          <w:rFonts w:ascii="Arial" w:hAnsi="Arial" w:cs="Arial"/>
          <w:noProof/>
          <w:lang w:val="sr-Latn-CS"/>
        </w:rPr>
        <w:t>č.s.m. i biće zahvaćene konturama površinskog kopa, a za predloženi</w:t>
      </w:r>
      <w:r w:rsidR="0063208D" w:rsidRPr="00AE5C99">
        <w:rPr>
          <w:rFonts w:ascii="Arial" w:hAnsi="Arial" w:cs="Arial"/>
          <w:noProof/>
          <w:lang w:val="sr-Latn-CS"/>
        </w:rPr>
        <w:t xml:space="preserve"> period trajanja koncesije od 29 godina</w:t>
      </w:r>
      <w:r w:rsidRPr="00AE5C99">
        <w:rPr>
          <w:rFonts w:ascii="Arial" w:hAnsi="Arial" w:cs="Arial"/>
          <w:noProof/>
          <w:lang w:val="sr-Latn-CS"/>
        </w:rPr>
        <w:t xml:space="preserve"> (za eksploataciju) proizvodni kapacitet će iznositi do 20.000 m</w:t>
      </w:r>
      <w:r w:rsidRPr="00AE5C99">
        <w:rPr>
          <w:rFonts w:ascii="Arial" w:hAnsi="Arial" w:cs="Arial"/>
          <w:noProof/>
          <w:vertAlign w:val="superscript"/>
          <w:lang w:val="sr-Latn-CS"/>
        </w:rPr>
        <w:t>3</w:t>
      </w:r>
      <w:r w:rsidRPr="00AE5C99">
        <w:rPr>
          <w:rFonts w:ascii="Arial" w:hAnsi="Arial" w:cs="Arial"/>
          <w:noProof/>
          <w:lang w:val="sr-Latn-CS"/>
        </w:rPr>
        <w:t xml:space="preserve"> č.s.m. ili 30.000 m</w:t>
      </w:r>
      <w:r w:rsidRPr="00AE5C99">
        <w:rPr>
          <w:rFonts w:ascii="Arial" w:hAnsi="Arial" w:cs="Arial"/>
          <w:noProof/>
          <w:vertAlign w:val="superscript"/>
          <w:lang w:val="sr-Latn-CS"/>
        </w:rPr>
        <w:t>3</w:t>
      </w:r>
      <w:r w:rsidRPr="00AE5C99">
        <w:rPr>
          <w:rFonts w:ascii="Arial" w:hAnsi="Arial" w:cs="Arial"/>
          <w:noProof/>
          <w:lang w:val="sr-Latn-CS"/>
        </w:rPr>
        <w:t xml:space="preserve"> agregata (svih frakcija) na godišnjem nivou (Kr=1,50).</w:t>
      </w:r>
    </w:p>
    <w:p w:rsidR="0063208D" w:rsidRPr="00AE5C99" w:rsidRDefault="008010DC" w:rsidP="00AE5C99">
      <w:pPr>
        <w:spacing w:after="120" w:line="240" w:lineRule="auto"/>
        <w:jc w:val="both"/>
        <w:rPr>
          <w:rFonts w:ascii="Arial" w:hAnsi="Arial" w:cs="Arial"/>
          <w:noProof/>
          <w:lang w:val="sr-Latn-CS"/>
        </w:rPr>
      </w:pPr>
      <w:r w:rsidRPr="00AE5C99">
        <w:rPr>
          <w:rFonts w:ascii="Arial" w:hAnsi="Arial" w:cs="Arial"/>
          <w:noProof/>
          <w:lang w:val="sr-Latn-CS"/>
        </w:rPr>
        <w:t>Za godišnji kapacitet površinskog kopa od 20.000 m</w:t>
      </w:r>
      <w:r w:rsidRPr="00AE5C99">
        <w:rPr>
          <w:rFonts w:ascii="Arial" w:hAnsi="Arial" w:cs="Arial"/>
          <w:noProof/>
          <w:vertAlign w:val="superscript"/>
          <w:lang w:val="sr-Latn-CS"/>
        </w:rPr>
        <w:t xml:space="preserve">3 </w:t>
      </w:r>
      <w:r w:rsidRPr="00AE5C99">
        <w:rPr>
          <w:rFonts w:ascii="Arial" w:hAnsi="Arial" w:cs="Arial"/>
          <w:noProof/>
          <w:lang w:val="sr-Latn-CS"/>
        </w:rPr>
        <w:t xml:space="preserve">č.s.m., u predviđenom periodu eksploatacije od </w:t>
      </w:r>
      <w:r w:rsidR="0063208D" w:rsidRPr="00AE5C99">
        <w:rPr>
          <w:rFonts w:ascii="Arial" w:hAnsi="Arial" w:cs="Arial"/>
          <w:noProof/>
          <w:lang w:val="sr-Latn-CS"/>
        </w:rPr>
        <w:t>29</w:t>
      </w:r>
      <w:r w:rsidRPr="00AE5C99">
        <w:rPr>
          <w:rFonts w:ascii="Arial" w:hAnsi="Arial" w:cs="Arial"/>
          <w:noProof/>
          <w:lang w:val="sr-Latn-CS"/>
        </w:rPr>
        <w:t xml:space="preserve"> godina</w:t>
      </w:r>
      <w:r w:rsidR="00B01C05" w:rsidRPr="00AE5C99">
        <w:rPr>
          <w:rFonts w:ascii="Arial" w:hAnsi="Arial" w:cs="Arial"/>
          <w:noProof/>
          <w:lang w:val="sr-Latn-CS"/>
        </w:rPr>
        <w:t>, potrebno je 58</w:t>
      </w:r>
      <w:r w:rsidRPr="00AE5C99">
        <w:rPr>
          <w:rFonts w:ascii="Arial" w:hAnsi="Arial" w:cs="Arial"/>
          <w:noProof/>
          <w:lang w:val="sr-Latn-CS"/>
        </w:rPr>
        <w:t>0.000 m</w:t>
      </w:r>
      <w:r w:rsidRPr="00AE5C99">
        <w:rPr>
          <w:rFonts w:ascii="Arial" w:hAnsi="Arial" w:cs="Arial"/>
          <w:noProof/>
          <w:vertAlign w:val="superscript"/>
          <w:lang w:val="sr-Latn-CS"/>
        </w:rPr>
        <w:t xml:space="preserve">3 </w:t>
      </w:r>
      <w:r w:rsidR="00B01C05" w:rsidRPr="00AE5C99">
        <w:rPr>
          <w:rFonts w:ascii="Arial" w:hAnsi="Arial" w:cs="Arial"/>
          <w:noProof/>
          <w:lang w:val="sr-Latn-CS"/>
        </w:rPr>
        <w:t>č.s.m ili 7,8</w:t>
      </w:r>
      <w:r w:rsidR="0063208D" w:rsidRPr="00AE5C99">
        <w:rPr>
          <w:rFonts w:ascii="Arial" w:hAnsi="Arial" w:cs="Arial"/>
          <w:noProof/>
          <w:lang w:val="sr-Latn-CS"/>
        </w:rPr>
        <w:t xml:space="preserve"> </w:t>
      </w:r>
      <w:r w:rsidRPr="00AE5C99">
        <w:rPr>
          <w:rFonts w:ascii="Arial" w:hAnsi="Arial" w:cs="Arial"/>
          <w:noProof/>
          <w:lang w:val="sr-Latn-CS"/>
        </w:rPr>
        <w:t>% od bilansnih rezervi što daje mogućnost rada na ovom lokalitetu ne samo za predviđeni period trajanja koncesije nego i mnogo duže.</w:t>
      </w:r>
    </w:p>
    <w:p w:rsidR="008010DC" w:rsidRPr="00AE5C99" w:rsidRDefault="008010DC" w:rsidP="00AE5C99">
      <w:pPr>
        <w:spacing w:after="0" w:line="240" w:lineRule="auto"/>
        <w:jc w:val="both"/>
        <w:rPr>
          <w:rFonts w:ascii="Arial" w:hAnsi="Arial" w:cs="Arial"/>
          <w:noProof/>
          <w:lang w:val="sr-Latn-CS"/>
        </w:rPr>
      </w:pPr>
      <w:r w:rsidRPr="00AE5C99">
        <w:rPr>
          <w:rFonts w:ascii="Arial" w:hAnsi="Arial" w:cs="Arial"/>
          <w:noProof/>
          <w:lang w:val="sr-Latn-CS"/>
        </w:rPr>
        <w:lastRenderedPageBreak/>
        <w:t>S obzirom na utvrđene rezerve, konfiguraciju terena, mogući razvoj kopa i druge povoljnosti, godišnji kapacitet se može povećati u odnosu na početni - minimalni godišnji kapacitet. To predstavlja značajnu povoljnost za ponuđače.</w:t>
      </w:r>
    </w:p>
    <w:p w:rsidR="0052047E" w:rsidRPr="00AE5C99" w:rsidRDefault="0052047E" w:rsidP="00AE5C99">
      <w:pPr>
        <w:spacing w:after="0" w:line="240" w:lineRule="auto"/>
        <w:jc w:val="both"/>
        <w:rPr>
          <w:rFonts w:ascii="Arial" w:hAnsi="Arial" w:cs="Arial"/>
          <w:noProof/>
          <w:lang w:val="sr-Latn-CS"/>
        </w:rPr>
      </w:pPr>
    </w:p>
    <w:p w:rsidR="00D620F2" w:rsidRPr="00AE5C99" w:rsidRDefault="00E21B44" w:rsidP="00AE5C99">
      <w:pPr>
        <w:pStyle w:val="Heading2"/>
        <w:spacing w:before="0" w:after="0" w:line="240" w:lineRule="auto"/>
        <w:rPr>
          <w:b/>
          <w:i/>
          <w:noProof/>
          <w:lang w:val="sr-Latn-CS"/>
        </w:rPr>
      </w:pPr>
      <w:bookmarkStart w:id="7" w:name="_Toc402262938"/>
      <w:r w:rsidRPr="00AE5C99">
        <w:rPr>
          <w:b/>
          <w:i/>
          <w:noProof/>
          <w:lang w:val="sr-Latn-CS"/>
        </w:rPr>
        <w:t>3</w:t>
      </w:r>
      <w:r w:rsidR="00472C68" w:rsidRPr="00AE5C99">
        <w:rPr>
          <w:b/>
          <w:i/>
          <w:noProof/>
          <w:lang w:val="sr-Latn-CS"/>
        </w:rPr>
        <w:t>.3.</w:t>
      </w:r>
      <w:r w:rsidR="00472C68" w:rsidRPr="00AE5C99">
        <w:rPr>
          <w:b/>
          <w:noProof/>
          <w:lang w:val="sr-Latn-CS"/>
        </w:rPr>
        <w:t xml:space="preserve"> </w:t>
      </w:r>
      <w:r w:rsidR="00D620F2" w:rsidRPr="00AE5C99">
        <w:rPr>
          <w:b/>
          <w:i/>
          <w:noProof/>
          <w:lang w:val="sr-Latn-CS"/>
        </w:rPr>
        <w:t>Opis tehničko-tehnološkog procesa eksploatacije</w:t>
      </w:r>
      <w:bookmarkEnd w:id="7"/>
    </w:p>
    <w:p w:rsidR="00D021C0" w:rsidRPr="00AE5C99" w:rsidRDefault="00D021C0" w:rsidP="00AE5C99">
      <w:pPr>
        <w:spacing w:after="0" w:line="240" w:lineRule="auto"/>
        <w:rPr>
          <w:rFonts w:ascii="Arial" w:hAnsi="Arial" w:cs="Arial"/>
          <w:noProof/>
          <w:lang w:val="sr-Latn-CS"/>
        </w:rPr>
      </w:pPr>
    </w:p>
    <w:p w:rsidR="00D620F2" w:rsidRPr="00AE5C99" w:rsidRDefault="003F58F1"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Na ovom ležištu</w:t>
      </w:r>
      <w:r w:rsidR="00F03306" w:rsidRPr="00AE5C99">
        <w:rPr>
          <w:rFonts w:ascii="Arial" w:hAnsi="Arial" w:cs="Arial"/>
          <w:noProof/>
          <w:lang w:val="sr-Latn-CS"/>
        </w:rPr>
        <w:t>,</w:t>
      </w:r>
      <w:r w:rsidR="00D620F2" w:rsidRPr="00AE5C99">
        <w:rPr>
          <w:rFonts w:ascii="Arial" w:hAnsi="Arial" w:cs="Arial"/>
          <w:noProof/>
          <w:lang w:val="sr-Latn-CS"/>
        </w:rPr>
        <w:t xml:space="preserve"> tip površinskog</w:t>
      </w:r>
      <w:r w:rsidR="006E698A" w:rsidRPr="00AE5C99">
        <w:rPr>
          <w:rFonts w:ascii="Arial" w:hAnsi="Arial" w:cs="Arial"/>
          <w:noProof/>
          <w:lang w:val="sr-Latn-CS"/>
        </w:rPr>
        <w:t xml:space="preserve"> kopa će biti</w:t>
      </w:r>
      <w:r w:rsidR="00E530C1" w:rsidRPr="00AE5C99">
        <w:rPr>
          <w:rFonts w:ascii="Arial" w:hAnsi="Arial" w:cs="Arial"/>
          <w:noProof/>
          <w:lang w:val="sr-Latn-CS"/>
        </w:rPr>
        <w:t xml:space="preserve"> tipično brdski</w:t>
      </w:r>
      <w:r w:rsidR="006E698A" w:rsidRPr="00AE5C99">
        <w:rPr>
          <w:rFonts w:ascii="Arial" w:hAnsi="Arial" w:cs="Arial"/>
          <w:noProof/>
          <w:lang w:val="sr-Latn-CS"/>
        </w:rPr>
        <w:t xml:space="preserve">, </w:t>
      </w:r>
      <w:r w:rsidR="00E530C1" w:rsidRPr="00AE5C99">
        <w:rPr>
          <w:rFonts w:ascii="Arial" w:hAnsi="Arial" w:cs="Arial"/>
          <w:noProof/>
          <w:lang w:val="sr-Latn-CS"/>
        </w:rPr>
        <w:t>što</w:t>
      </w:r>
      <w:r w:rsidR="00D620F2" w:rsidRPr="00AE5C99">
        <w:rPr>
          <w:rFonts w:ascii="Arial" w:hAnsi="Arial" w:cs="Arial"/>
          <w:noProof/>
          <w:lang w:val="sr-Latn-CS"/>
        </w:rPr>
        <w:t xml:space="preserve"> omogućuje primjenu klasične tehnologije na istom, eksploataci</w:t>
      </w:r>
      <w:r w:rsidRPr="00AE5C99">
        <w:rPr>
          <w:rFonts w:ascii="Arial" w:hAnsi="Arial" w:cs="Arial"/>
          <w:noProof/>
          <w:lang w:val="sr-Latn-CS"/>
        </w:rPr>
        <w:t>ja tehničko-građevinskog kamena</w:t>
      </w:r>
      <w:r w:rsidR="00D620F2" w:rsidRPr="00AE5C99">
        <w:rPr>
          <w:rFonts w:ascii="Arial" w:hAnsi="Arial" w:cs="Arial"/>
          <w:noProof/>
          <w:lang w:val="sr-Latn-CS"/>
        </w:rPr>
        <w:t xml:space="preserve"> vršiće se od najvisočije etaže prema najnižoj.</w:t>
      </w:r>
    </w:p>
    <w:p w:rsidR="0063208D" w:rsidRPr="00AE5C99" w:rsidRDefault="0063208D" w:rsidP="00AE5C99">
      <w:pPr>
        <w:pStyle w:val="BodyText"/>
        <w:spacing w:after="0" w:line="240" w:lineRule="auto"/>
        <w:jc w:val="both"/>
        <w:rPr>
          <w:rFonts w:ascii="Arial" w:hAnsi="Arial" w:cs="Arial"/>
          <w:noProof/>
          <w:lang w:val="sr-Latn-CS"/>
        </w:rPr>
      </w:pPr>
    </w:p>
    <w:p w:rsidR="00F10DEF"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Tehnološki proces rada na površinskom kopu sastoji se od radnih operacija: </w:t>
      </w:r>
    </w:p>
    <w:p w:rsidR="00AC5997" w:rsidRPr="00AE5C99" w:rsidRDefault="00AC5997" w:rsidP="00AE5C99">
      <w:pPr>
        <w:pStyle w:val="ListParagraph"/>
        <w:spacing w:after="0" w:line="240" w:lineRule="auto"/>
        <w:rPr>
          <w:rFonts w:ascii="Arial" w:hAnsi="Arial" w:cs="Arial"/>
          <w:noProof/>
          <w:lang w:val="sr-Latn-CS"/>
        </w:rPr>
      </w:pPr>
    </w:p>
    <w:p w:rsidR="00D620F2" w:rsidRPr="00AE5C99" w:rsidRDefault="00D620F2" w:rsidP="00AE5C99">
      <w:pPr>
        <w:pStyle w:val="ListParagraph"/>
        <w:numPr>
          <w:ilvl w:val="0"/>
          <w:numId w:val="5"/>
        </w:numPr>
        <w:spacing w:after="0" w:line="240" w:lineRule="auto"/>
        <w:rPr>
          <w:rFonts w:ascii="Arial" w:hAnsi="Arial" w:cs="Arial"/>
          <w:noProof/>
          <w:lang w:val="sr-Latn-CS"/>
        </w:rPr>
      </w:pPr>
      <w:r w:rsidRPr="00AE5C99">
        <w:rPr>
          <w:rFonts w:ascii="Arial" w:hAnsi="Arial" w:cs="Arial"/>
          <w:noProof/>
          <w:lang w:val="sr-Latn-CS"/>
        </w:rPr>
        <w:t xml:space="preserve">pripremni radovi, </w:t>
      </w:r>
    </w:p>
    <w:p w:rsidR="00D620F2" w:rsidRPr="00AE5C99" w:rsidRDefault="00D620F2" w:rsidP="00AE5C99">
      <w:pPr>
        <w:pStyle w:val="Default"/>
        <w:numPr>
          <w:ilvl w:val="0"/>
          <w:numId w:val="5"/>
        </w:numPr>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bušenje, </w:t>
      </w:r>
    </w:p>
    <w:p w:rsidR="00D620F2" w:rsidRPr="00AE5C99" w:rsidRDefault="00D620F2" w:rsidP="00AE5C99">
      <w:pPr>
        <w:pStyle w:val="Default"/>
        <w:numPr>
          <w:ilvl w:val="0"/>
          <w:numId w:val="5"/>
        </w:numPr>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miniranje, </w:t>
      </w:r>
    </w:p>
    <w:p w:rsidR="00D620F2" w:rsidRPr="00AE5C99" w:rsidRDefault="00D620F2" w:rsidP="00AE5C99">
      <w:pPr>
        <w:pStyle w:val="Default"/>
        <w:numPr>
          <w:ilvl w:val="0"/>
          <w:numId w:val="5"/>
        </w:numPr>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utovar, </w:t>
      </w:r>
    </w:p>
    <w:p w:rsidR="00D620F2" w:rsidRPr="00AE5C99" w:rsidRDefault="00D620F2" w:rsidP="00AE5C99">
      <w:pPr>
        <w:pStyle w:val="Default"/>
        <w:numPr>
          <w:ilvl w:val="0"/>
          <w:numId w:val="5"/>
        </w:numPr>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transport, </w:t>
      </w:r>
    </w:p>
    <w:p w:rsidR="00AC0094" w:rsidRPr="00AE5C99" w:rsidRDefault="00D620F2" w:rsidP="00AE5C99">
      <w:pPr>
        <w:pStyle w:val="Default"/>
        <w:numPr>
          <w:ilvl w:val="0"/>
          <w:numId w:val="5"/>
        </w:numPr>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drobljenje i klasiranje. </w:t>
      </w:r>
    </w:p>
    <w:p w:rsidR="00D021C0" w:rsidRPr="00AE5C99" w:rsidRDefault="00D021C0" w:rsidP="00AE5C99">
      <w:pPr>
        <w:pStyle w:val="Default"/>
        <w:shd w:val="clear" w:color="auto" w:fill="FFFFFF" w:themeFill="background1"/>
        <w:jc w:val="both"/>
        <w:rPr>
          <w:rFonts w:ascii="Arial" w:hAnsi="Arial" w:cs="Arial"/>
          <w:b/>
          <w:bCs/>
          <w:i/>
          <w:iCs/>
          <w:noProof/>
          <w:color w:val="auto"/>
          <w:sz w:val="22"/>
          <w:szCs w:val="22"/>
          <w:lang w:val="sr-Latn-CS"/>
        </w:rPr>
      </w:pPr>
    </w:p>
    <w:p w:rsidR="006A68F3" w:rsidRPr="00AE5C99" w:rsidRDefault="00D620F2" w:rsidP="00AE5C99">
      <w:pPr>
        <w:pStyle w:val="Default"/>
        <w:shd w:val="clear" w:color="auto" w:fill="FFFFFF" w:themeFill="background1"/>
        <w:jc w:val="both"/>
        <w:rPr>
          <w:rFonts w:ascii="Arial" w:hAnsi="Arial" w:cs="Arial"/>
          <w:b/>
          <w:bCs/>
          <w:i/>
          <w:iCs/>
          <w:noProof/>
          <w:color w:val="auto"/>
          <w:sz w:val="22"/>
          <w:szCs w:val="22"/>
          <w:lang w:val="sr-Latn-CS"/>
        </w:rPr>
      </w:pPr>
      <w:r w:rsidRPr="00AE5C99">
        <w:rPr>
          <w:rFonts w:ascii="Arial" w:hAnsi="Arial" w:cs="Arial"/>
          <w:b/>
          <w:bCs/>
          <w:i/>
          <w:iCs/>
          <w:noProof/>
          <w:color w:val="auto"/>
          <w:sz w:val="22"/>
          <w:szCs w:val="22"/>
          <w:lang w:val="sr-Latn-CS"/>
        </w:rPr>
        <w:t>Pripremni radovi</w:t>
      </w:r>
    </w:p>
    <w:p w:rsidR="00AC0094"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Pripremni radovi obuhvataju čišćenje i ravnanje terena, čišćenje etažnih ravni i pripremu istih za potrebe bušenja, miniranja i druge pomoćne radove. Pripremni radovi izvodiće se</w:t>
      </w:r>
      <w:r w:rsidR="006E698A" w:rsidRPr="00AE5C99">
        <w:rPr>
          <w:rFonts w:ascii="Arial" w:hAnsi="Arial" w:cs="Arial"/>
          <w:noProof/>
          <w:lang w:val="sr-Latn-CS"/>
        </w:rPr>
        <w:t xml:space="preserve"> buldož</w:t>
      </w:r>
      <w:r w:rsidR="00E530C1" w:rsidRPr="00AE5C99">
        <w:rPr>
          <w:rFonts w:ascii="Arial" w:hAnsi="Arial" w:cs="Arial"/>
          <w:noProof/>
          <w:lang w:val="sr-Latn-CS"/>
        </w:rPr>
        <w:t>erom</w:t>
      </w:r>
      <w:r w:rsidR="00AC0094" w:rsidRPr="00AE5C99">
        <w:rPr>
          <w:rFonts w:ascii="Arial" w:hAnsi="Arial" w:cs="Arial"/>
          <w:noProof/>
          <w:lang w:val="sr-Latn-CS"/>
        </w:rPr>
        <w:t xml:space="preserve"> snage 300 KW</w:t>
      </w:r>
      <w:r w:rsidR="00E530C1" w:rsidRPr="00AE5C99">
        <w:rPr>
          <w:rFonts w:ascii="Arial" w:hAnsi="Arial" w:cs="Arial"/>
          <w:noProof/>
          <w:lang w:val="sr-Latn-CS"/>
        </w:rPr>
        <w:t xml:space="preserve"> i </w:t>
      </w:r>
      <w:r w:rsidRPr="00AE5C99">
        <w:rPr>
          <w:rFonts w:ascii="Arial" w:hAnsi="Arial" w:cs="Arial"/>
          <w:noProof/>
          <w:lang w:val="sr-Latn-CS"/>
        </w:rPr>
        <w:t>bagerom sa dubinskom korpom uz povremenu upotrebu hidrauličnog čekića.</w:t>
      </w:r>
    </w:p>
    <w:p w:rsidR="00D021C0" w:rsidRPr="00AE5C99" w:rsidRDefault="00D021C0" w:rsidP="00AE5C99">
      <w:pPr>
        <w:spacing w:after="0" w:line="240" w:lineRule="auto"/>
        <w:jc w:val="both"/>
        <w:rPr>
          <w:rFonts w:ascii="Arial" w:hAnsi="Arial" w:cs="Arial"/>
          <w:b/>
          <w:bCs/>
          <w:i/>
          <w:iCs/>
          <w:noProof/>
          <w:lang w:val="sr-Latn-CS"/>
        </w:rPr>
      </w:pPr>
    </w:p>
    <w:p w:rsidR="006A68F3" w:rsidRPr="00AE5C99" w:rsidRDefault="00D620F2" w:rsidP="00AE5C99">
      <w:pPr>
        <w:spacing w:after="0" w:line="240" w:lineRule="auto"/>
        <w:jc w:val="both"/>
        <w:rPr>
          <w:rFonts w:ascii="Arial" w:hAnsi="Arial" w:cs="Arial"/>
          <w:b/>
          <w:bCs/>
          <w:i/>
          <w:iCs/>
          <w:noProof/>
          <w:lang w:val="sr-Latn-CS"/>
        </w:rPr>
      </w:pPr>
      <w:r w:rsidRPr="00AE5C99">
        <w:rPr>
          <w:rFonts w:ascii="Arial" w:hAnsi="Arial" w:cs="Arial"/>
          <w:b/>
          <w:bCs/>
          <w:i/>
          <w:iCs/>
          <w:noProof/>
          <w:lang w:val="sr-Latn-CS"/>
        </w:rPr>
        <w:t xml:space="preserve">Bušenje </w:t>
      </w:r>
    </w:p>
    <w:p w:rsidR="00AC0094" w:rsidRPr="00AE5C99" w:rsidRDefault="00D620F2" w:rsidP="00AE5C99">
      <w:pPr>
        <w:pStyle w:val="Default"/>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Bušenje minskih b</w:t>
      </w:r>
      <w:r w:rsidR="00F03306" w:rsidRPr="00AE5C99">
        <w:rPr>
          <w:rFonts w:ascii="Arial" w:hAnsi="Arial" w:cs="Arial"/>
          <w:noProof/>
          <w:color w:val="auto"/>
          <w:sz w:val="22"/>
          <w:szCs w:val="22"/>
          <w:lang w:val="sr-Latn-CS"/>
        </w:rPr>
        <w:t>ušotina vršilo bi se sa udarno</w:t>
      </w:r>
      <w:r w:rsidRPr="00AE5C99">
        <w:rPr>
          <w:rFonts w:ascii="Arial" w:hAnsi="Arial" w:cs="Arial"/>
          <w:noProof/>
          <w:color w:val="auto"/>
          <w:sz w:val="22"/>
          <w:szCs w:val="22"/>
          <w:lang w:val="sr-Latn-CS"/>
        </w:rPr>
        <w:t>-</w:t>
      </w:r>
      <w:r w:rsidR="00E530C1" w:rsidRPr="00AE5C99">
        <w:rPr>
          <w:rFonts w:ascii="Arial" w:hAnsi="Arial" w:cs="Arial"/>
          <w:noProof/>
          <w:color w:val="auto"/>
          <w:sz w:val="22"/>
          <w:szCs w:val="22"/>
          <w:lang w:val="sr-Latn-CS"/>
        </w:rPr>
        <w:t>ro</w:t>
      </w:r>
      <w:r w:rsidRPr="00AE5C99">
        <w:rPr>
          <w:rFonts w:ascii="Arial" w:hAnsi="Arial" w:cs="Arial"/>
          <w:noProof/>
          <w:color w:val="auto"/>
          <w:sz w:val="22"/>
          <w:szCs w:val="22"/>
          <w:lang w:val="sr-Latn-CS"/>
        </w:rPr>
        <w:t>tacion</w:t>
      </w:r>
      <w:r w:rsidR="005C75B7" w:rsidRPr="00AE5C99">
        <w:rPr>
          <w:rFonts w:ascii="Arial" w:hAnsi="Arial" w:cs="Arial"/>
          <w:noProof/>
          <w:color w:val="auto"/>
          <w:sz w:val="22"/>
          <w:szCs w:val="22"/>
          <w:lang w:val="sr-Latn-CS"/>
        </w:rPr>
        <w:t>om bušilicom prečnika  Ø 76 mm.</w:t>
      </w:r>
    </w:p>
    <w:p w:rsidR="00D021C0" w:rsidRPr="00AE5C99" w:rsidRDefault="00D021C0" w:rsidP="00AE5C99">
      <w:pPr>
        <w:pStyle w:val="Default"/>
        <w:shd w:val="clear" w:color="auto" w:fill="FFFFFF" w:themeFill="background1"/>
        <w:jc w:val="both"/>
        <w:rPr>
          <w:rFonts w:ascii="Arial" w:hAnsi="Arial" w:cs="Arial"/>
          <w:b/>
          <w:bCs/>
          <w:i/>
          <w:iCs/>
          <w:noProof/>
          <w:color w:val="auto"/>
          <w:sz w:val="22"/>
          <w:szCs w:val="22"/>
          <w:lang w:val="sr-Latn-CS"/>
        </w:rPr>
      </w:pPr>
    </w:p>
    <w:p w:rsidR="006A68F3" w:rsidRPr="00AE5C99" w:rsidRDefault="00D620F2" w:rsidP="00AE5C99">
      <w:pPr>
        <w:pStyle w:val="Default"/>
        <w:shd w:val="clear" w:color="auto" w:fill="FFFFFF" w:themeFill="background1"/>
        <w:jc w:val="both"/>
        <w:rPr>
          <w:rFonts w:ascii="Arial" w:hAnsi="Arial" w:cs="Arial"/>
          <w:b/>
          <w:bCs/>
          <w:i/>
          <w:iCs/>
          <w:noProof/>
          <w:color w:val="auto"/>
          <w:sz w:val="22"/>
          <w:szCs w:val="22"/>
          <w:lang w:val="sr-Latn-CS"/>
        </w:rPr>
      </w:pPr>
      <w:r w:rsidRPr="00AE5C99">
        <w:rPr>
          <w:rFonts w:ascii="Arial" w:hAnsi="Arial" w:cs="Arial"/>
          <w:b/>
          <w:bCs/>
          <w:i/>
          <w:iCs/>
          <w:noProof/>
          <w:color w:val="auto"/>
          <w:sz w:val="22"/>
          <w:szCs w:val="22"/>
          <w:lang w:val="sr-Latn-CS"/>
        </w:rPr>
        <w:t>Miniranje</w:t>
      </w:r>
    </w:p>
    <w:p w:rsidR="00045BF7" w:rsidRPr="00AE5C99" w:rsidRDefault="00E530C1" w:rsidP="00AE5C99">
      <w:pPr>
        <w:pStyle w:val="Default"/>
        <w:shd w:val="clear" w:color="auto" w:fill="FFFFFF" w:themeFill="background1"/>
        <w:jc w:val="both"/>
        <w:rPr>
          <w:rFonts w:ascii="Arial" w:hAnsi="Arial" w:cs="Arial"/>
          <w:noProof/>
          <w:color w:val="auto"/>
          <w:sz w:val="22"/>
          <w:szCs w:val="22"/>
          <w:lang w:val="sr-Latn-CS"/>
        </w:rPr>
      </w:pPr>
      <w:r w:rsidRPr="00AE5C99">
        <w:rPr>
          <w:rFonts w:ascii="Arial" w:hAnsi="Arial" w:cs="Arial"/>
          <w:noProof/>
          <w:color w:val="auto"/>
          <w:sz w:val="22"/>
          <w:szCs w:val="22"/>
          <w:lang w:val="sr-Latn-CS"/>
        </w:rPr>
        <w:t>Miniranje krečnjaka</w:t>
      </w:r>
      <w:r w:rsidR="00D620F2" w:rsidRPr="00AE5C99">
        <w:rPr>
          <w:rFonts w:ascii="Arial" w:hAnsi="Arial" w:cs="Arial"/>
          <w:noProof/>
          <w:color w:val="auto"/>
          <w:sz w:val="22"/>
          <w:szCs w:val="22"/>
          <w:lang w:val="sr-Latn-CS"/>
        </w:rPr>
        <w:t xml:space="preserve"> vršilo bi se praškastim eksplozivom, prečnika patrone Ø 60</w:t>
      </w:r>
      <w:r w:rsidR="00F03306" w:rsidRPr="00AE5C99">
        <w:rPr>
          <w:rFonts w:ascii="Arial" w:hAnsi="Arial" w:cs="Arial"/>
          <w:noProof/>
          <w:color w:val="auto"/>
          <w:sz w:val="22"/>
          <w:szCs w:val="22"/>
          <w:lang w:val="sr-Latn-CS"/>
        </w:rPr>
        <w:t xml:space="preserve"> </w:t>
      </w:r>
      <w:r w:rsidR="005C75B7" w:rsidRPr="00AE5C99">
        <w:rPr>
          <w:rFonts w:ascii="Arial" w:hAnsi="Arial" w:cs="Arial"/>
          <w:noProof/>
          <w:color w:val="auto"/>
          <w:sz w:val="22"/>
          <w:szCs w:val="22"/>
          <w:lang w:val="sr-Latn-CS"/>
        </w:rPr>
        <w:t>mm.</w:t>
      </w:r>
    </w:p>
    <w:p w:rsidR="0052047E" w:rsidRPr="00AE5C99" w:rsidRDefault="0052047E" w:rsidP="00AE5C99">
      <w:pPr>
        <w:pStyle w:val="Default"/>
        <w:shd w:val="clear" w:color="auto" w:fill="FFFFFF" w:themeFill="background1"/>
        <w:jc w:val="both"/>
        <w:rPr>
          <w:rFonts w:ascii="Arial" w:hAnsi="Arial" w:cs="Arial"/>
          <w:b/>
          <w:bCs/>
          <w:i/>
          <w:iCs/>
          <w:noProof/>
          <w:color w:val="auto"/>
          <w:sz w:val="22"/>
          <w:szCs w:val="22"/>
          <w:lang w:val="sr-Latn-CS"/>
        </w:rPr>
      </w:pPr>
    </w:p>
    <w:p w:rsidR="006A68F3" w:rsidRPr="00AE5C99" w:rsidRDefault="00D620F2" w:rsidP="00AE5C99">
      <w:pPr>
        <w:pStyle w:val="Default"/>
        <w:shd w:val="clear" w:color="auto" w:fill="FFFFFF" w:themeFill="background1"/>
        <w:jc w:val="both"/>
        <w:rPr>
          <w:rFonts w:ascii="Arial" w:hAnsi="Arial" w:cs="Arial"/>
          <w:b/>
          <w:bCs/>
          <w:i/>
          <w:iCs/>
          <w:noProof/>
          <w:color w:val="auto"/>
          <w:sz w:val="22"/>
          <w:szCs w:val="22"/>
          <w:lang w:val="sr-Latn-CS"/>
        </w:rPr>
      </w:pPr>
      <w:r w:rsidRPr="00AE5C99">
        <w:rPr>
          <w:rFonts w:ascii="Arial" w:hAnsi="Arial" w:cs="Arial"/>
          <w:b/>
          <w:bCs/>
          <w:i/>
          <w:iCs/>
          <w:noProof/>
          <w:color w:val="auto"/>
          <w:sz w:val="22"/>
          <w:szCs w:val="22"/>
          <w:lang w:val="sr-Latn-CS"/>
        </w:rPr>
        <w:t>Utovar</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Utovar odminiranog krečnjaka vršio bi se bagerom kašikarom, zapremine kašike od 1,5 m</w:t>
      </w:r>
      <w:r w:rsidRPr="00AE5C99">
        <w:rPr>
          <w:rFonts w:ascii="Arial" w:hAnsi="Arial" w:cs="Arial"/>
          <w:noProof/>
          <w:vertAlign w:val="superscript"/>
          <w:lang w:val="sr-Latn-CS"/>
        </w:rPr>
        <w:t>3</w:t>
      </w:r>
      <w:r w:rsidRPr="00AE5C99">
        <w:rPr>
          <w:rFonts w:ascii="Arial" w:hAnsi="Arial" w:cs="Arial"/>
          <w:noProof/>
          <w:lang w:val="sr-Latn-CS"/>
        </w:rPr>
        <w:t>,</w:t>
      </w:r>
      <w:r w:rsidR="00F03306" w:rsidRPr="00AE5C99">
        <w:rPr>
          <w:rFonts w:ascii="Arial" w:hAnsi="Arial" w:cs="Arial"/>
          <w:noProof/>
          <w:lang w:val="sr-Latn-CS"/>
        </w:rPr>
        <w:t xml:space="preserve"> </w:t>
      </w:r>
      <w:r w:rsidRPr="00AE5C99">
        <w:rPr>
          <w:rFonts w:ascii="Arial" w:hAnsi="Arial" w:cs="Arial"/>
          <w:noProof/>
          <w:lang w:val="sr-Latn-CS"/>
        </w:rPr>
        <w:t>a utovar gotovog proizvoda utovarivačem zapremine korpe 3</w:t>
      </w:r>
      <w:r w:rsidR="006B0693" w:rsidRPr="00AE5C99">
        <w:rPr>
          <w:rFonts w:ascii="Arial" w:hAnsi="Arial" w:cs="Arial"/>
          <w:noProof/>
          <w:lang w:val="sr-Latn-CS"/>
        </w:rPr>
        <w:t xml:space="preserve"> </w:t>
      </w:r>
      <w:r w:rsidRPr="00AE5C99">
        <w:rPr>
          <w:rFonts w:ascii="Arial" w:hAnsi="Arial" w:cs="Arial"/>
          <w:noProof/>
          <w:lang w:val="sr-Latn-CS"/>
        </w:rPr>
        <w:t>m</w:t>
      </w:r>
      <w:r w:rsidRPr="00AE5C99">
        <w:rPr>
          <w:rFonts w:ascii="Arial" w:hAnsi="Arial" w:cs="Arial"/>
          <w:noProof/>
          <w:vertAlign w:val="superscript"/>
          <w:lang w:val="sr-Latn-CS"/>
        </w:rPr>
        <w:t>3</w:t>
      </w:r>
      <w:r w:rsidR="00472C68" w:rsidRPr="00AE5C99">
        <w:rPr>
          <w:rFonts w:ascii="Arial" w:hAnsi="Arial" w:cs="Arial"/>
          <w:noProof/>
          <w:lang w:val="sr-Latn-CS"/>
        </w:rPr>
        <w:t>.</w:t>
      </w:r>
    </w:p>
    <w:p w:rsidR="006A68F3" w:rsidRPr="00AE5C99" w:rsidRDefault="006A68F3" w:rsidP="00AE5C99">
      <w:pPr>
        <w:spacing w:after="0" w:line="240" w:lineRule="auto"/>
        <w:jc w:val="both"/>
        <w:rPr>
          <w:rFonts w:ascii="Arial" w:hAnsi="Arial" w:cs="Arial"/>
          <w:noProof/>
          <w:lang w:val="sr-Latn-CS"/>
        </w:rPr>
      </w:pPr>
      <w:bookmarkStart w:id="8" w:name="_GoBack"/>
      <w:bookmarkEnd w:id="8"/>
    </w:p>
    <w:p w:rsidR="006A68F3" w:rsidRPr="00AE5C99" w:rsidRDefault="00D620F2" w:rsidP="00AE5C99">
      <w:pPr>
        <w:pStyle w:val="Default"/>
        <w:shd w:val="clear" w:color="auto" w:fill="FFFFFF" w:themeFill="background1"/>
        <w:jc w:val="both"/>
        <w:rPr>
          <w:rFonts w:ascii="Arial" w:hAnsi="Arial" w:cs="Arial"/>
          <w:b/>
          <w:bCs/>
          <w:i/>
          <w:iCs/>
          <w:noProof/>
          <w:color w:val="auto"/>
          <w:sz w:val="22"/>
          <w:szCs w:val="22"/>
          <w:lang w:val="sr-Latn-CS"/>
        </w:rPr>
      </w:pPr>
      <w:r w:rsidRPr="00AE5C99">
        <w:rPr>
          <w:rFonts w:ascii="Arial" w:hAnsi="Arial" w:cs="Arial"/>
          <w:b/>
          <w:bCs/>
          <w:i/>
          <w:iCs/>
          <w:noProof/>
          <w:color w:val="auto"/>
          <w:sz w:val="22"/>
          <w:szCs w:val="22"/>
          <w:lang w:val="sr-Latn-CS"/>
        </w:rPr>
        <w:t>Transp</w:t>
      </w:r>
      <w:r w:rsidR="0052047E" w:rsidRPr="00AE5C99">
        <w:rPr>
          <w:rFonts w:ascii="Arial" w:hAnsi="Arial" w:cs="Arial"/>
          <w:b/>
          <w:bCs/>
          <w:i/>
          <w:iCs/>
          <w:noProof/>
          <w:color w:val="auto"/>
          <w:sz w:val="22"/>
          <w:szCs w:val="22"/>
          <w:lang w:val="sr-Latn-CS"/>
        </w:rPr>
        <w:t xml:space="preserve">ort </w:t>
      </w: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Transport krečnjaka će biti gravitacijski, a mobilno drobiličn</w:t>
      </w:r>
      <w:r w:rsidR="00F03306" w:rsidRPr="00AE5C99">
        <w:rPr>
          <w:rFonts w:ascii="Arial" w:hAnsi="Arial" w:cs="Arial"/>
          <w:noProof/>
          <w:lang w:val="sr-Latn-CS"/>
        </w:rPr>
        <w:t>o postojenje će se postavljati i</w:t>
      </w:r>
      <w:r w:rsidRPr="00AE5C99">
        <w:rPr>
          <w:rFonts w:ascii="Arial" w:hAnsi="Arial" w:cs="Arial"/>
          <w:noProof/>
          <w:lang w:val="sr-Latn-CS"/>
        </w:rPr>
        <w:t xml:space="preserve"> raditi do odminiranog ili naguranog tehničko-građevinskog kamena.</w:t>
      </w:r>
    </w:p>
    <w:p w:rsidR="00D021C0" w:rsidRPr="00AE5C99" w:rsidRDefault="00D021C0" w:rsidP="00AE5C99">
      <w:pPr>
        <w:pStyle w:val="Default"/>
        <w:shd w:val="clear" w:color="auto" w:fill="FFFFFF" w:themeFill="background1"/>
        <w:jc w:val="both"/>
        <w:rPr>
          <w:rFonts w:ascii="Arial" w:hAnsi="Arial" w:cs="Arial"/>
          <w:b/>
          <w:bCs/>
          <w:i/>
          <w:iCs/>
          <w:noProof/>
          <w:color w:val="auto"/>
          <w:sz w:val="22"/>
          <w:szCs w:val="22"/>
          <w:lang w:val="sr-Latn-CS"/>
        </w:rPr>
      </w:pPr>
    </w:p>
    <w:p w:rsidR="006A68F3" w:rsidRPr="00AE5C99" w:rsidRDefault="005C75B7" w:rsidP="00AE5C99">
      <w:pPr>
        <w:pStyle w:val="Default"/>
        <w:shd w:val="clear" w:color="auto" w:fill="FFFFFF" w:themeFill="background1"/>
        <w:jc w:val="both"/>
        <w:rPr>
          <w:rFonts w:ascii="Arial" w:hAnsi="Arial" w:cs="Arial"/>
          <w:b/>
          <w:bCs/>
          <w:i/>
          <w:iCs/>
          <w:noProof/>
          <w:color w:val="auto"/>
          <w:sz w:val="22"/>
          <w:szCs w:val="22"/>
          <w:lang w:val="sr-Latn-CS"/>
        </w:rPr>
      </w:pPr>
      <w:r w:rsidRPr="00AE5C99">
        <w:rPr>
          <w:rFonts w:ascii="Arial" w:hAnsi="Arial" w:cs="Arial"/>
          <w:b/>
          <w:bCs/>
          <w:i/>
          <w:iCs/>
          <w:noProof/>
          <w:color w:val="auto"/>
          <w:sz w:val="22"/>
          <w:szCs w:val="22"/>
          <w:lang w:val="sr-Latn-CS"/>
        </w:rPr>
        <w:t>Drobljenje i klasiranje</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Za dro</w:t>
      </w:r>
      <w:r w:rsidR="00E530C1" w:rsidRPr="00AE5C99">
        <w:rPr>
          <w:rFonts w:ascii="Arial" w:hAnsi="Arial" w:cs="Arial"/>
          <w:noProof/>
          <w:lang w:val="sr-Latn-CS"/>
        </w:rPr>
        <w:t xml:space="preserve">bljenje materijala potrebno je </w:t>
      </w:r>
      <w:r w:rsidR="00F03306" w:rsidRPr="00AE5C99">
        <w:rPr>
          <w:rFonts w:ascii="Arial" w:hAnsi="Arial" w:cs="Arial"/>
          <w:noProof/>
          <w:lang w:val="sr-Latn-CS"/>
        </w:rPr>
        <w:t xml:space="preserve">mobilno </w:t>
      </w:r>
      <w:r w:rsidRPr="00AE5C99">
        <w:rPr>
          <w:rFonts w:ascii="Arial" w:hAnsi="Arial" w:cs="Arial"/>
          <w:noProof/>
          <w:lang w:val="sr-Latn-CS"/>
        </w:rPr>
        <w:t>postrojenje kapaciteta od 15 m</w:t>
      </w:r>
      <w:r w:rsidRPr="00AE5C99">
        <w:rPr>
          <w:rFonts w:ascii="Arial" w:hAnsi="Arial" w:cs="Arial"/>
          <w:noProof/>
          <w:vertAlign w:val="superscript"/>
          <w:lang w:val="sr-Latn-CS"/>
        </w:rPr>
        <w:t>3</w:t>
      </w:r>
      <w:r w:rsidRPr="00AE5C99">
        <w:rPr>
          <w:rFonts w:ascii="Arial" w:hAnsi="Arial" w:cs="Arial"/>
          <w:noProof/>
          <w:lang w:val="sr-Latn-CS"/>
        </w:rPr>
        <w:t>/h, a za klasiranje mobilna sijačica is</w:t>
      </w:r>
      <w:r w:rsidR="00E530C1" w:rsidRPr="00AE5C99">
        <w:rPr>
          <w:rFonts w:ascii="Arial" w:hAnsi="Arial" w:cs="Arial"/>
          <w:noProof/>
          <w:lang w:val="sr-Latn-CS"/>
        </w:rPr>
        <w:t>t</w:t>
      </w:r>
      <w:r w:rsidRPr="00AE5C99">
        <w:rPr>
          <w:rFonts w:ascii="Arial" w:hAnsi="Arial" w:cs="Arial"/>
          <w:noProof/>
          <w:lang w:val="sr-Latn-CS"/>
        </w:rPr>
        <w:t>og kapacieta.</w:t>
      </w:r>
    </w:p>
    <w:p w:rsidR="00D021C0" w:rsidRPr="00AE5C99" w:rsidRDefault="00D021C0" w:rsidP="00AE5C99">
      <w:pPr>
        <w:spacing w:after="0" w:line="240" w:lineRule="auto"/>
        <w:jc w:val="both"/>
        <w:rPr>
          <w:rFonts w:ascii="Arial" w:hAnsi="Arial" w:cs="Arial"/>
          <w:noProof/>
          <w:lang w:val="sr-Latn-CS"/>
        </w:rPr>
      </w:pPr>
    </w:p>
    <w:p w:rsidR="00D620F2" w:rsidRPr="00AE5C99" w:rsidRDefault="00E21B44" w:rsidP="00AE5C99">
      <w:pPr>
        <w:pStyle w:val="Heading2"/>
        <w:shd w:val="clear" w:color="auto" w:fill="FFFFFF" w:themeFill="background1"/>
        <w:spacing w:before="0" w:after="0" w:line="240" w:lineRule="auto"/>
        <w:jc w:val="both"/>
        <w:rPr>
          <w:b/>
          <w:i/>
          <w:noProof/>
          <w:lang w:val="sr-Latn-CS"/>
        </w:rPr>
      </w:pPr>
      <w:bookmarkStart w:id="9" w:name="_Toc402262939"/>
      <w:r w:rsidRPr="00AE5C99">
        <w:rPr>
          <w:b/>
          <w:i/>
          <w:noProof/>
          <w:lang w:val="sr-Latn-CS"/>
        </w:rPr>
        <w:t>3</w:t>
      </w:r>
      <w:r w:rsidR="00261C5D" w:rsidRPr="00AE5C99">
        <w:rPr>
          <w:b/>
          <w:i/>
          <w:noProof/>
          <w:lang w:val="sr-Latn-CS"/>
        </w:rPr>
        <w:t xml:space="preserve">.4. </w:t>
      </w:r>
      <w:r w:rsidR="00D620F2" w:rsidRPr="00AE5C99">
        <w:rPr>
          <w:b/>
          <w:i/>
          <w:noProof/>
          <w:lang w:val="sr-Latn-CS"/>
        </w:rPr>
        <w:t>Snabdijevanje električnom energijom, gorivom, vodom i eksplozivom i eksplozivnim sredstvima</w:t>
      </w:r>
      <w:bookmarkEnd w:id="9"/>
    </w:p>
    <w:p w:rsidR="00D021C0" w:rsidRPr="00AE5C99" w:rsidRDefault="00D021C0" w:rsidP="00AE5C99">
      <w:pPr>
        <w:spacing w:after="0" w:line="240" w:lineRule="auto"/>
        <w:rPr>
          <w:rFonts w:ascii="Arial" w:hAnsi="Arial" w:cs="Arial"/>
          <w:noProof/>
          <w:lang w:val="sr-Latn-CS"/>
        </w:rPr>
      </w:pPr>
    </w:p>
    <w:p w:rsidR="006A68F3" w:rsidRPr="00AE5C99" w:rsidRDefault="00261C5D" w:rsidP="00AE5C99">
      <w:pPr>
        <w:pStyle w:val="BodyText"/>
        <w:spacing w:after="0" w:line="240" w:lineRule="auto"/>
        <w:jc w:val="both"/>
        <w:rPr>
          <w:rFonts w:ascii="Arial" w:hAnsi="Arial" w:cs="Arial"/>
          <w:noProof/>
          <w:lang w:val="sr-Latn-CS"/>
        </w:rPr>
      </w:pPr>
      <w:bookmarkStart w:id="10" w:name="_Toc402262940"/>
      <w:r w:rsidRPr="00AE5C99">
        <w:rPr>
          <w:rFonts w:ascii="Arial" w:hAnsi="Arial" w:cs="Arial"/>
          <w:noProof/>
          <w:lang w:val="sr-Latn-CS"/>
        </w:rPr>
        <w:t xml:space="preserve">Budući da kroz sela koja </w:t>
      </w:r>
      <w:r w:rsidR="007B3E2C" w:rsidRPr="00AE5C99">
        <w:rPr>
          <w:rFonts w:ascii="Arial" w:hAnsi="Arial" w:cs="Arial"/>
          <w:noProof/>
          <w:lang w:val="sr-Latn-CS"/>
        </w:rPr>
        <w:t>se nalaze u blizini</w:t>
      </w:r>
      <w:r w:rsidRPr="00AE5C99">
        <w:rPr>
          <w:rFonts w:ascii="Arial" w:hAnsi="Arial" w:cs="Arial"/>
          <w:noProof/>
          <w:lang w:val="sr-Latn-CS"/>
        </w:rPr>
        <w:t xml:space="preserve"> predmetn</w:t>
      </w:r>
      <w:r w:rsidR="007B3E2C" w:rsidRPr="00AE5C99">
        <w:rPr>
          <w:rFonts w:ascii="Arial" w:hAnsi="Arial" w:cs="Arial"/>
          <w:noProof/>
          <w:lang w:val="sr-Latn-CS"/>
        </w:rPr>
        <w:t>e</w:t>
      </w:r>
      <w:r w:rsidR="00457E75" w:rsidRPr="00AE5C99">
        <w:rPr>
          <w:rFonts w:ascii="Arial" w:hAnsi="Arial" w:cs="Arial"/>
          <w:noProof/>
          <w:lang w:val="sr-Latn-CS"/>
        </w:rPr>
        <w:t xml:space="preserve"> loka</w:t>
      </w:r>
      <w:r w:rsidR="007B3E2C" w:rsidRPr="00AE5C99">
        <w:rPr>
          <w:rFonts w:ascii="Arial" w:hAnsi="Arial" w:cs="Arial"/>
          <w:noProof/>
          <w:lang w:val="sr-Latn-CS"/>
        </w:rPr>
        <w:t>cije</w:t>
      </w:r>
      <w:r w:rsidRPr="00AE5C99">
        <w:rPr>
          <w:rFonts w:ascii="Arial" w:hAnsi="Arial" w:cs="Arial"/>
          <w:noProof/>
          <w:lang w:val="sr-Latn-CS"/>
        </w:rPr>
        <w:t xml:space="preserve">, prolazi nisko naponska električna mreža i visokonaponski dalekovod, snabdijevanje električnom energijom moguće je priključenjem na prenosni ili distributivni sistem a voda se može </w:t>
      </w:r>
      <w:r w:rsidR="00457E75" w:rsidRPr="00AE5C99">
        <w:rPr>
          <w:rFonts w:ascii="Arial" w:hAnsi="Arial" w:cs="Arial"/>
          <w:noProof/>
          <w:lang w:val="sr-Latn-CS"/>
        </w:rPr>
        <w:t>o</w:t>
      </w:r>
      <w:r w:rsidRPr="00AE5C99">
        <w:rPr>
          <w:rFonts w:ascii="Arial" w:hAnsi="Arial" w:cs="Arial"/>
          <w:noProof/>
          <w:lang w:val="sr-Latn-CS"/>
        </w:rPr>
        <w:t>bezbij</w:t>
      </w:r>
      <w:r w:rsidR="007B3E2C" w:rsidRPr="00AE5C99">
        <w:rPr>
          <w:rFonts w:ascii="Arial" w:hAnsi="Arial" w:cs="Arial"/>
          <w:noProof/>
          <w:lang w:val="sr-Latn-CS"/>
        </w:rPr>
        <w:t>editi pomoću cistijerne za vodu</w:t>
      </w:r>
      <w:r w:rsidRPr="00AE5C99">
        <w:rPr>
          <w:rFonts w:ascii="Arial" w:hAnsi="Arial" w:cs="Arial"/>
          <w:noProof/>
          <w:lang w:val="sr-Latn-CS"/>
        </w:rPr>
        <w:t xml:space="preserve"> </w:t>
      </w:r>
      <w:r w:rsidR="007B3E2C" w:rsidRPr="00AE5C99">
        <w:rPr>
          <w:rFonts w:ascii="Arial" w:hAnsi="Arial" w:cs="Arial"/>
          <w:noProof/>
          <w:lang w:val="sr-Latn-CS"/>
        </w:rPr>
        <w:t xml:space="preserve">ili pumpanjem vode iz rijeke Lješnice, pomoću vodenih pumpi, </w:t>
      </w:r>
      <w:r w:rsidRPr="00AE5C99">
        <w:rPr>
          <w:rFonts w:ascii="Arial" w:hAnsi="Arial" w:cs="Arial"/>
          <w:noProof/>
          <w:lang w:val="sr-Latn-CS"/>
        </w:rPr>
        <w:t>dok će se eksploziv i eksplozivna sredstva obezbijediti na tržištu kod specijalizovanih firmi.</w:t>
      </w:r>
    </w:p>
    <w:p w:rsidR="005C75B7" w:rsidRPr="00AE5C99" w:rsidRDefault="005C75B7" w:rsidP="00AE5C99">
      <w:pPr>
        <w:pStyle w:val="BodyText"/>
        <w:spacing w:after="0" w:line="240" w:lineRule="auto"/>
        <w:jc w:val="both"/>
        <w:rPr>
          <w:rFonts w:ascii="Arial" w:hAnsi="Arial" w:cs="Arial"/>
          <w:noProof/>
          <w:lang w:val="sr-Latn-CS"/>
        </w:rPr>
      </w:pPr>
    </w:p>
    <w:p w:rsidR="00F03306" w:rsidRPr="00AE5C99" w:rsidRDefault="00E21B44" w:rsidP="00AE5C99">
      <w:pPr>
        <w:shd w:val="clear" w:color="auto" w:fill="FFFFFF" w:themeFill="background1"/>
        <w:spacing w:after="0" w:line="240" w:lineRule="auto"/>
        <w:rPr>
          <w:rFonts w:ascii="Arial" w:hAnsi="Arial" w:cs="Arial"/>
          <w:b/>
          <w:i/>
          <w:noProof/>
          <w:lang w:val="sr-Latn-CS"/>
        </w:rPr>
      </w:pPr>
      <w:r w:rsidRPr="00AE5C99">
        <w:rPr>
          <w:rFonts w:ascii="Arial" w:hAnsi="Arial" w:cs="Arial"/>
          <w:b/>
          <w:i/>
          <w:noProof/>
          <w:lang w:val="sr-Latn-CS"/>
        </w:rPr>
        <w:t>3</w:t>
      </w:r>
      <w:r w:rsidR="003F58F1" w:rsidRPr="00AE5C99">
        <w:rPr>
          <w:rFonts w:ascii="Arial" w:hAnsi="Arial" w:cs="Arial"/>
          <w:b/>
          <w:i/>
          <w:noProof/>
          <w:lang w:val="sr-Latn-CS"/>
        </w:rPr>
        <w:t>.</w:t>
      </w:r>
      <w:r w:rsidR="00261C5D" w:rsidRPr="00AE5C99">
        <w:rPr>
          <w:rFonts w:ascii="Arial" w:hAnsi="Arial" w:cs="Arial"/>
          <w:b/>
          <w:i/>
          <w:noProof/>
          <w:lang w:val="sr-Latn-CS"/>
        </w:rPr>
        <w:t>5.</w:t>
      </w:r>
      <w:r w:rsidR="0052047E" w:rsidRPr="00AE5C99">
        <w:rPr>
          <w:rFonts w:ascii="Arial" w:hAnsi="Arial" w:cs="Arial"/>
          <w:b/>
          <w:i/>
          <w:noProof/>
          <w:lang w:val="sr-Latn-CS"/>
        </w:rPr>
        <w:t xml:space="preserve"> </w:t>
      </w:r>
      <w:r w:rsidR="00D620F2" w:rsidRPr="00AE5C99">
        <w:rPr>
          <w:rFonts w:ascii="Arial" w:hAnsi="Arial" w:cs="Arial"/>
          <w:b/>
          <w:i/>
          <w:noProof/>
          <w:lang w:val="sr-Latn-CS"/>
        </w:rPr>
        <w:t>Potrebna oprema i mehanizacija</w:t>
      </w:r>
      <w:bookmarkEnd w:id="10"/>
    </w:p>
    <w:p w:rsidR="00D021C0" w:rsidRPr="00AE5C99" w:rsidRDefault="00D021C0" w:rsidP="00AE5C99">
      <w:pPr>
        <w:shd w:val="clear" w:color="auto" w:fill="FFFFFF" w:themeFill="background1"/>
        <w:spacing w:after="0" w:line="240" w:lineRule="auto"/>
        <w:rPr>
          <w:rFonts w:ascii="Arial" w:hAnsi="Arial" w:cs="Arial"/>
          <w:i/>
          <w:noProof/>
          <w:lang w:val="sr-Latn-CS"/>
        </w:rPr>
      </w:pPr>
    </w:p>
    <w:p w:rsidR="00F03306" w:rsidRPr="00AE5C99" w:rsidRDefault="00F03306" w:rsidP="00AE5C99">
      <w:pPr>
        <w:shd w:val="clear" w:color="auto" w:fill="FFFFFF" w:themeFill="background1"/>
        <w:spacing w:after="0" w:line="240" w:lineRule="auto"/>
        <w:rPr>
          <w:rFonts w:ascii="Arial" w:hAnsi="Arial" w:cs="Arial"/>
          <w:i/>
          <w:noProof/>
          <w:lang w:val="sr-Latn-CS"/>
        </w:rPr>
      </w:pPr>
      <w:r w:rsidRPr="00AE5C99">
        <w:rPr>
          <w:rFonts w:ascii="Arial" w:hAnsi="Arial" w:cs="Arial"/>
          <w:b/>
          <w:i/>
          <w:noProof/>
          <w:lang w:val="sr-Latn-CS"/>
        </w:rPr>
        <w:t xml:space="preserve">Tabela </w:t>
      </w:r>
      <w:r w:rsidR="005C75B7" w:rsidRPr="00AE5C99">
        <w:rPr>
          <w:rFonts w:ascii="Arial" w:hAnsi="Arial" w:cs="Arial"/>
          <w:b/>
          <w:i/>
          <w:noProof/>
          <w:lang w:val="sr-Latn-CS"/>
        </w:rPr>
        <w:t>6</w:t>
      </w:r>
      <w:r w:rsidRPr="00AE5C99">
        <w:rPr>
          <w:rFonts w:ascii="Arial" w:hAnsi="Arial" w:cs="Arial"/>
          <w:b/>
          <w:i/>
          <w:noProof/>
          <w:lang w:val="sr-Latn-CS"/>
        </w:rPr>
        <w:t>.</w:t>
      </w:r>
      <w:r w:rsidRPr="00AE5C99">
        <w:rPr>
          <w:rFonts w:ascii="Arial" w:hAnsi="Arial" w:cs="Arial"/>
          <w:i/>
          <w:noProof/>
          <w:lang w:val="sr-Latn-CS"/>
        </w:rPr>
        <w:t xml:space="preserve"> Potrebna oprema i mehanizacija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AE5C99" w:rsidTr="005C75B7">
        <w:tc>
          <w:tcPr>
            <w:tcW w:w="1134" w:type="dxa"/>
          </w:tcPr>
          <w:p w:rsidR="00261C5D" w:rsidRPr="00AE5C99" w:rsidRDefault="00261C5D" w:rsidP="00AE5C99">
            <w:pPr>
              <w:spacing w:after="0" w:line="240" w:lineRule="auto"/>
              <w:jc w:val="center"/>
              <w:rPr>
                <w:rFonts w:ascii="Arial" w:hAnsi="Arial" w:cs="Arial"/>
                <w:b/>
                <w:noProof/>
                <w:lang w:val="sr-Latn-CS"/>
              </w:rPr>
            </w:pPr>
            <w:bookmarkStart w:id="11" w:name="_Toc402262941"/>
            <w:r w:rsidRPr="00AE5C99">
              <w:rPr>
                <w:rFonts w:ascii="Arial" w:hAnsi="Arial" w:cs="Arial"/>
                <w:b/>
                <w:noProof/>
                <w:lang w:val="sr-Latn-CS"/>
              </w:rPr>
              <w:lastRenderedPageBreak/>
              <w:t>Redni broj</w:t>
            </w:r>
          </w:p>
        </w:tc>
        <w:tc>
          <w:tcPr>
            <w:tcW w:w="261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Naziv</w:t>
            </w:r>
          </w:p>
        </w:tc>
        <w:tc>
          <w:tcPr>
            <w:tcW w:w="1072"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Količina</w:t>
            </w:r>
          </w:p>
        </w:tc>
        <w:tc>
          <w:tcPr>
            <w:tcW w:w="126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Cijena (€)</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Utovarivač</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90.000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Bušilica</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60.000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3</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Kamion</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80.000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4</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Drobilično postrojenje</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170.000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5</w:t>
            </w:r>
          </w:p>
        </w:tc>
        <w:tc>
          <w:tcPr>
            <w:tcW w:w="2610" w:type="dxa"/>
          </w:tcPr>
          <w:p w:rsidR="00261C5D" w:rsidRPr="00AE5C99" w:rsidRDefault="006E698A" w:rsidP="00AE5C99">
            <w:pPr>
              <w:spacing w:after="0" w:line="240" w:lineRule="auto"/>
              <w:jc w:val="center"/>
              <w:rPr>
                <w:rFonts w:ascii="Arial" w:hAnsi="Arial" w:cs="Arial"/>
                <w:noProof/>
                <w:lang w:val="sr-Latn-CS"/>
              </w:rPr>
            </w:pPr>
            <w:r w:rsidRPr="00AE5C99">
              <w:rPr>
                <w:rFonts w:ascii="Arial" w:hAnsi="Arial" w:cs="Arial"/>
                <w:noProof/>
                <w:lang w:val="sr-Latn-CS"/>
              </w:rPr>
              <w:t>Buldož</w:t>
            </w:r>
            <w:r w:rsidR="00261C5D" w:rsidRPr="00AE5C99">
              <w:rPr>
                <w:rFonts w:ascii="Arial" w:hAnsi="Arial" w:cs="Arial"/>
                <w:noProof/>
                <w:lang w:val="sr-Latn-CS"/>
              </w:rPr>
              <w:t>er</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150.000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6</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Bager</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80.000</w:t>
            </w:r>
          </w:p>
        </w:tc>
      </w:tr>
      <w:tr w:rsidR="00AE5C99" w:rsidRPr="00AE5C99" w:rsidTr="005C75B7">
        <w:tc>
          <w:tcPr>
            <w:tcW w:w="1134"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7</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Cistijerna za vodu</w:t>
            </w:r>
          </w:p>
        </w:tc>
        <w:tc>
          <w:tcPr>
            <w:tcW w:w="1072"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126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15.000</w:t>
            </w:r>
          </w:p>
        </w:tc>
      </w:tr>
      <w:tr w:rsidR="00AE5C99" w:rsidRPr="00AE5C99" w:rsidTr="005C75B7">
        <w:tc>
          <w:tcPr>
            <w:tcW w:w="4816" w:type="dxa"/>
            <w:gridSpan w:val="3"/>
          </w:tcPr>
          <w:p w:rsidR="00261C5D" w:rsidRPr="00AE5C99" w:rsidRDefault="00261C5D" w:rsidP="00AE5C99">
            <w:pPr>
              <w:spacing w:after="0" w:line="240" w:lineRule="auto"/>
              <w:rPr>
                <w:rFonts w:ascii="Arial" w:hAnsi="Arial" w:cs="Arial"/>
                <w:b/>
                <w:noProof/>
                <w:lang w:val="sr-Latn-CS"/>
              </w:rPr>
            </w:pPr>
            <w:r w:rsidRPr="00AE5C99">
              <w:rPr>
                <w:rFonts w:ascii="Arial" w:hAnsi="Arial" w:cs="Arial"/>
                <w:b/>
                <w:noProof/>
                <w:lang w:val="sr-Latn-CS"/>
              </w:rPr>
              <w:t>UKUPNO</w:t>
            </w:r>
          </w:p>
        </w:tc>
        <w:tc>
          <w:tcPr>
            <w:tcW w:w="126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645.000</w:t>
            </w:r>
          </w:p>
        </w:tc>
      </w:tr>
    </w:tbl>
    <w:p w:rsidR="00D021C0" w:rsidRPr="00AE5C99" w:rsidRDefault="00D021C0" w:rsidP="00AE5C99">
      <w:pPr>
        <w:pStyle w:val="Heading2"/>
        <w:shd w:val="clear" w:color="auto" w:fill="FFFFFF" w:themeFill="background1"/>
        <w:spacing w:before="0" w:after="0" w:line="240" w:lineRule="auto"/>
        <w:rPr>
          <w:i/>
          <w:noProof/>
          <w:lang w:val="sr-Latn-CS"/>
        </w:rPr>
      </w:pPr>
    </w:p>
    <w:p w:rsidR="00D620F2" w:rsidRPr="00AE5C99" w:rsidRDefault="00E21B44" w:rsidP="00AE5C99">
      <w:pPr>
        <w:pStyle w:val="Heading2"/>
        <w:shd w:val="clear" w:color="auto" w:fill="FFFFFF" w:themeFill="background1"/>
        <w:spacing w:before="0" w:after="0" w:line="240" w:lineRule="auto"/>
        <w:rPr>
          <w:b/>
          <w:i/>
          <w:noProof/>
          <w:lang w:val="sr-Latn-CS"/>
        </w:rPr>
      </w:pPr>
      <w:r w:rsidRPr="00AE5C99">
        <w:rPr>
          <w:b/>
          <w:i/>
          <w:noProof/>
          <w:lang w:val="sr-Latn-CS"/>
        </w:rPr>
        <w:t>3</w:t>
      </w:r>
      <w:r w:rsidR="00497848" w:rsidRPr="00AE5C99">
        <w:rPr>
          <w:b/>
          <w:i/>
          <w:noProof/>
          <w:lang w:val="sr-Latn-CS"/>
        </w:rPr>
        <w:t>.6.</w:t>
      </w:r>
      <w:r w:rsidR="00D620F2" w:rsidRPr="00AE5C99">
        <w:rPr>
          <w:b/>
          <w:i/>
          <w:noProof/>
          <w:lang w:val="sr-Latn-CS"/>
        </w:rPr>
        <w:t xml:space="preserve"> Objekti</w:t>
      </w:r>
      <w:bookmarkEnd w:id="11"/>
    </w:p>
    <w:p w:rsidR="00D021C0" w:rsidRPr="00AE5C99" w:rsidRDefault="00D021C0" w:rsidP="00AE5C99">
      <w:pPr>
        <w:spacing w:after="0" w:line="240" w:lineRule="auto"/>
        <w:rPr>
          <w:rFonts w:ascii="Arial" w:hAnsi="Arial" w:cs="Arial"/>
          <w:noProof/>
          <w:lang w:val="sr-Latn-CS"/>
        </w:rPr>
      </w:pPr>
    </w:p>
    <w:p w:rsidR="00F03306" w:rsidRPr="00AE5C99" w:rsidRDefault="00430D05" w:rsidP="00AE5C99">
      <w:pPr>
        <w:spacing w:after="0" w:line="240" w:lineRule="auto"/>
        <w:rPr>
          <w:rFonts w:ascii="Arial" w:hAnsi="Arial" w:cs="Arial"/>
          <w:i/>
          <w:noProof/>
          <w:lang w:val="sr-Latn-CS"/>
        </w:rPr>
      </w:pPr>
      <w:r w:rsidRPr="00AE5C99">
        <w:rPr>
          <w:rFonts w:ascii="Arial" w:hAnsi="Arial" w:cs="Arial"/>
          <w:b/>
          <w:i/>
          <w:noProof/>
          <w:lang w:val="sr-Latn-CS"/>
        </w:rPr>
        <w:t>Tabela 7</w:t>
      </w:r>
      <w:r w:rsidR="00F03306" w:rsidRPr="00AE5C99">
        <w:rPr>
          <w:rFonts w:ascii="Arial" w:hAnsi="Arial" w:cs="Arial"/>
          <w:b/>
          <w:i/>
          <w:noProof/>
          <w:lang w:val="sr-Latn-CS"/>
        </w:rPr>
        <w:t>.</w:t>
      </w:r>
      <w:r w:rsidR="00F03306" w:rsidRPr="00AE5C99">
        <w:rPr>
          <w:rFonts w:ascii="Arial" w:hAnsi="Arial" w:cs="Arial"/>
          <w:i/>
          <w:noProof/>
          <w:lang w:val="sr-Latn-CS"/>
        </w:rPr>
        <w:t xml:space="preserve"> Objekti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AE5C99" w:rsidTr="00430D05">
        <w:tc>
          <w:tcPr>
            <w:tcW w:w="1134"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Redni broj</w:t>
            </w:r>
          </w:p>
        </w:tc>
        <w:tc>
          <w:tcPr>
            <w:tcW w:w="261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Naziv</w:t>
            </w:r>
          </w:p>
        </w:tc>
        <w:tc>
          <w:tcPr>
            <w:tcW w:w="1072"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Količina</w:t>
            </w:r>
          </w:p>
        </w:tc>
        <w:tc>
          <w:tcPr>
            <w:tcW w:w="126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Cijena (€)</w:t>
            </w:r>
          </w:p>
        </w:tc>
      </w:tr>
      <w:tr w:rsidR="00AE5C99" w:rsidRPr="00AE5C99" w:rsidTr="00430D05">
        <w:tc>
          <w:tcPr>
            <w:tcW w:w="1134"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2610" w:type="dxa"/>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Kontejner za kancelarije i magacin (20m</w:t>
            </w:r>
            <w:r w:rsidRPr="00AE5C99">
              <w:rPr>
                <w:rFonts w:ascii="Arial" w:hAnsi="Arial" w:cs="Arial"/>
                <w:noProof/>
                <w:vertAlign w:val="superscript"/>
                <w:lang w:val="sr-Latn-CS"/>
              </w:rPr>
              <w:t>2</w:t>
            </w:r>
            <w:r w:rsidRPr="00AE5C99">
              <w:rPr>
                <w:rFonts w:ascii="Arial" w:hAnsi="Arial" w:cs="Arial"/>
                <w:noProof/>
                <w:lang w:val="sr-Latn-CS"/>
              </w:rPr>
              <w:t>)</w:t>
            </w:r>
          </w:p>
        </w:tc>
        <w:tc>
          <w:tcPr>
            <w:tcW w:w="107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c>
          <w:tcPr>
            <w:tcW w:w="1260"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5.000</w:t>
            </w:r>
          </w:p>
        </w:tc>
      </w:tr>
      <w:tr w:rsidR="00AE5C99" w:rsidRPr="00AE5C99" w:rsidTr="00430D05">
        <w:tc>
          <w:tcPr>
            <w:tcW w:w="4816" w:type="dxa"/>
            <w:gridSpan w:val="3"/>
          </w:tcPr>
          <w:p w:rsidR="00261C5D" w:rsidRPr="00AE5C99" w:rsidRDefault="00261C5D" w:rsidP="00AE5C99">
            <w:pPr>
              <w:spacing w:after="0" w:line="240" w:lineRule="auto"/>
              <w:rPr>
                <w:rFonts w:ascii="Arial" w:hAnsi="Arial" w:cs="Arial"/>
                <w:b/>
                <w:noProof/>
                <w:lang w:val="sr-Latn-CS"/>
              </w:rPr>
            </w:pPr>
            <w:r w:rsidRPr="00AE5C99">
              <w:rPr>
                <w:rFonts w:ascii="Arial" w:hAnsi="Arial" w:cs="Arial"/>
                <w:b/>
                <w:noProof/>
                <w:lang w:val="sr-Latn-CS"/>
              </w:rPr>
              <w:t>UKUPNO</w:t>
            </w:r>
          </w:p>
        </w:tc>
        <w:tc>
          <w:tcPr>
            <w:tcW w:w="1260" w:type="dxa"/>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10.000</w:t>
            </w:r>
          </w:p>
        </w:tc>
      </w:tr>
    </w:tbl>
    <w:p w:rsidR="00045BF7" w:rsidRPr="00AE5C99" w:rsidRDefault="00045BF7" w:rsidP="00AE5C99">
      <w:pPr>
        <w:pStyle w:val="Heading2"/>
        <w:shd w:val="clear" w:color="auto" w:fill="FFFFFF" w:themeFill="background1"/>
        <w:spacing w:before="0" w:after="0" w:line="240" w:lineRule="auto"/>
        <w:rPr>
          <w:rFonts w:eastAsia="Calibri"/>
          <w:bCs w:val="0"/>
          <w:i/>
          <w:iCs w:val="0"/>
          <w:noProof/>
          <w:lang w:val="sr-Latn-CS"/>
        </w:rPr>
      </w:pPr>
      <w:bookmarkStart w:id="12" w:name="_Toc402262942"/>
    </w:p>
    <w:p w:rsidR="00BA158D" w:rsidRPr="00AE5C99" w:rsidRDefault="00BA158D" w:rsidP="00AE5C99">
      <w:pPr>
        <w:pStyle w:val="Heading2"/>
        <w:shd w:val="clear" w:color="auto" w:fill="FFFFFF" w:themeFill="background1"/>
        <w:spacing w:before="0" w:after="0" w:line="240" w:lineRule="auto"/>
        <w:rPr>
          <w:rFonts w:eastAsia="Calibri"/>
          <w:b/>
          <w:bCs w:val="0"/>
          <w:i/>
          <w:iCs w:val="0"/>
          <w:noProof/>
          <w:lang w:val="sr-Latn-CS"/>
        </w:rPr>
      </w:pPr>
    </w:p>
    <w:p w:rsidR="00D620F2" w:rsidRPr="00AE5C99" w:rsidRDefault="00E21B44" w:rsidP="00AE5C99">
      <w:pPr>
        <w:pStyle w:val="Heading2"/>
        <w:shd w:val="clear" w:color="auto" w:fill="FFFFFF" w:themeFill="background1"/>
        <w:spacing w:before="0" w:after="0" w:line="240" w:lineRule="auto"/>
        <w:rPr>
          <w:b/>
          <w:i/>
          <w:noProof/>
          <w:lang w:val="sr-Latn-CS"/>
        </w:rPr>
      </w:pPr>
      <w:r w:rsidRPr="00AE5C99">
        <w:rPr>
          <w:rFonts w:eastAsia="Calibri"/>
          <w:b/>
          <w:bCs w:val="0"/>
          <w:i/>
          <w:iCs w:val="0"/>
          <w:noProof/>
          <w:lang w:val="sr-Latn-CS"/>
        </w:rPr>
        <w:t>3</w:t>
      </w:r>
      <w:r w:rsidR="00497848" w:rsidRPr="00AE5C99">
        <w:rPr>
          <w:rFonts w:eastAsia="Calibri"/>
          <w:b/>
          <w:bCs w:val="0"/>
          <w:i/>
          <w:iCs w:val="0"/>
          <w:noProof/>
          <w:lang w:val="sr-Latn-CS"/>
        </w:rPr>
        <w:t xml:space="preserve">.7. </w:t>
      </w:r>
      <w:r w:rsidR="00D620F2" w:rsidRPr="00AE5C99">
        <w:rPr>
          <w:b/>
          <w:i/>
          <w:noProof/>
          <w:lang w:val="sr-Latn-CS"/>
        </w:rPr>
        <w:t>Radna snaga</w:t>
      </w:r>
      <w:bookmarkEnd w:id="12"/>
    </w:p>
    <w:p w:rsidR="00D021C0" w:rsidRPr="00AE5C99" w:rsidRDefault="00D021C0" w:rsidP="00AE5C99">
      <w:pPr>
        <w:spacing w:after="0" w:line="240" w:lineRule="auto"/>
        <w:rPr>
          <w:rFonts w:ascii="Arial" w:hAnsi="Arial" w:cs="Arial"/>
          <w:noProof/>
          <w:lang w:val="sr-Latn-CS"/>
        </w:rPr>
      </w:pPr>
    </w:p>
    <w:p w:rsidR="00F03306" w:rsidRPr="00AE5C99" w:rsidRDefault="00430D05" w:rsidP="00AE5C99">
      <w:pPr>
        <w:spacing w:after="0" w:line="240" w:lineRule="auto"/>
        <w:rPr>
          <w:rFonts w:ascii="Arial" w:hAnsi="Arial" w:cs="Arial"/>
          <w:i/>
          <w:noProof/>
          <w:lang w:val="sr-Latn-CS"/>
        </w:rPr>
      </w:pPr>
      <w:r w:rsidRPr="00AE5C99">
        <w:rPr>
          <w:rFonts w:ascii="Arial" w:hAnsi="Arial" w:cs="Arial"/>
          <w:b/>
          <w:i/>
          <w:noProof/>
          <w:lang w:val="sr-Latn-CS"/>
        </w:rPr>
        <w:t>Tabela 8</w:t>
      </w:r>
      <w:r w:rsidR="00F03306" w:rsidRPr="00AE5C99">
        <w:rPr>
          <w:rFonts w:ascii="Arial" w:hAnsi="Arial" w:cs="Arial"/>
          <w:b/>
          <w:i/>
          <w:noProof/>
          <w:lang w:val="sr-Latn-CS"/>
        </w:rPr>
        <w:t>.</w:t>
      </w:r>
      <w:r w:rsidR="00F03306" w:rsidRPr="00AE5C99">
        <w:rPr>
          <w:rFonts w:ascii="Arial" w:hAnsi="Arial" w:cs="Arial"/>
          <w:i/>
          <w:noProof/>
          <w:lang w:val="sr-Latn-CS"/>
        </w:rPr>
        <w:t xml:space="preserve"> </w:t>
      </w:r>
      <w:r w:rsidR="00791705" w:rsidRPr="00AE5C99">
        <w:rPr>
          <w:rFonts w:ascii="Arial" w:hAnsi="Arial" w:cs="Arial"/>
          <w:i/>
          <w:noProof/>
          <w:lang w:val="sr-Latn-CS"/>
        </w:rPr>
        <w:t>Radna snaga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483"/>
        <w:gridCol w:w="1452"/>
        <w:gridCol w:w="2912"/>
        <w:gridCol w:w="1158"/>
      </w:tblGrid>
      <w:tr w:rsidR="00261C5D" w:rsidRPr="00AE5C99" w:rsidTr="00430D05">
        <w:tc>
          <w:tcPr>
            <w:tcW w:w="828"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Redni broj</w:t>
            </w:r>
          </w:p>
        </w:tc>
        <w:tc>
          <w:tcPr>
            <w:tcW w:w="2483"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Naziv radnog mjesta</w:t>
            </w:r>
          </w:p>
        </w:tc>
        <w:tc>
          <w:tcPr>
            <w:tcW w:w="1452"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Potrebna kvalifikacija</w:t>
            </w:r>
          </w:p>
        </w:tc>
        <w:tc>
          <w:tcPr>
            <w:tcW w:w="2912"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Struka</w:t>
            </w:r>
          </w:p>
        </w:tc>
        <w:tc>
          <w:tcPr>
            <w:tcW w:w="1158"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Broj izvršioca</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Upravnik</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VSS</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Dipl.inž. rudarstva</w:t>
            </w: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Poslovođa</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SSS</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Rudarski tehničar</w:t>
            </w: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3</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Rukovalac mobilnog postrojenja za preradu</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KV</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Rukovalac rud.-građ. mašina</w:t>
            </w:r>
          </w:p>
        </w:tc>
        <w:tc>
          <w:tcPr>
            <w:tcW w:w="1158" w:type="dxa"/>
            <w:vAlign w:val="center"/>
          </w:tcPr>
          <w:p w:rsidR="00261C5D" w:rsidRPr="00AE5C99" w:rsidRDefault="008E7826" w:rsidP="00AE5C99">
            <w:pPr>
              <w:spacing w:after="0" w:line="240" w:lineRule="auto"/>
              <w:jc w:val="center"/>
              <w:rPr>
                <w:rFonts w:ascii="Arial" w:hAnsi="Arial" w:cs="Arial"/>
                <w:noProof/>
                <w:lang w:val="sr-Latn-CS"/>
              </w:rPr>
            </w:pPr>
            <w:r w:rsidRPr="00AE5C99">
              <w:rPr>
                <w:rFonts w:ascii="Arial" w:hAnsi="Arial" w:cs="Arial"/>
                <w:noProof/>
                <w:lang w:val="sr-Latn-CS"/>
              </w:rPr>
              <w:t>2</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4</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Rukovalac mašinama</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KV</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Rukovalac rud.-građ. mašina</w:t>
            </w: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3</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5</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Vozač</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KV</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Vozač</w:t>
            </w: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6</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Bušač</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KV</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Rudarski tehničar</w:t>
            </w: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1</w:t>
            </w:r>
          </w:p>
        </w:tc>
      </w:tr>
      <w:tr w:rsidR="00AE5C99" w:rsidRPr="00AE5C99" w:rsidTr="00430D05">
        <w:tc>
          <w:tcPr>
            <w:tcW w:w="82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7</w:t>
            </w:r>
          </w:p>
        </w:tc>
        <w:tc>
          <w:tcPr>
            <w:tcW w:w="2483"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Stražar</w:t>
            </w:r>
          </w:p>
        </w:tc>
        <w:tc>
          <w:tcPr>
            <w:tcW w:w="1452"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PK</w:t>
            </w:r>
          </w:p>
        </w:tc>
        <w:tc>
          <w:tcPr>
            <w:tcW w:w="2912" w:type="dxa"/>
            <w:vAlign w:val="center"/>
          </w:tcPr>
          <w:p w:rsidR="00261C5D" w:rsidRPr="00AE5C99" w:rsidRDefault="00261C5D" w:rsidP="00AE5C99">
            <w:pPr>
              <w:spacing w:after="0" w:line="240" w:lineRule="auto"/>
              <w:jc w:val="center"/>
              <w:rPr>
                <w:rFonts w:ascii="Arial" w:hAnsi="Arial" w:cs="Arial"/>
                <w:noProof/>
                <w:lang w:val="sr-Latn-CS"/>
              </w:rPr>
            </w:pPr>
          </w:p>
        </w:tc>
        <w:tc>
          <w:tcPr>
            <w:tcW w:w="1158" w:type="dxa"/>
            <w:vAlign w:val="center"/>
          </w:tcPr>
          <w:p w:rsidR="00261C5D" w:rsidRPr="00AE5C99" w:rsidRDefault="00261C5D" w:rsidP="00AE5C99">
            <w:pPr>
              <w:spacing w:after="0" w:line="240" w:lineRule="auto"/>
              <w:jc w:val="center"/>
              <w:rPr>
                <w:rFonts w:ascii="Arial" w:hAnsi="Arial" w:cs="Arial"/>
                <w:noProof/>
                <w:lang w:val="sr-Latn-CS"/>
              </w:rPr>
            </w:pPr>
            <w:r w:rsidRPr="00AE5C99">
              <w:rPr>
                <w:rFonts w:ascii="Arial" w:hAnsi="Arial" w:cs="Arial"/>
                <w:noProof/>
                <w:lang w:val="sr-Latn-CS"/>
              </w:rPr>
              <w:t>2</w:t>
            </w:r>
          </w:p>
        </w:tc>
      </w:tr>
      <w:tr w:rsidR="00AE5C99" w:rsidRPr="00AE5C99" w:rsidTr="00430D05">
        <w:trPr>
          <w:trHeight w:val="243"/>
        </w:trPr>
        <w:tc>
          <w:tcPr>
            <w:tcW w:w="7675" w:type="dxa"/>
            <w:gridSpan w:val="4"/>
            <w:vAlign w:val="center"/>
          </w:tcPr>
          <w:p w:rsidR="00261C5D" w:rsidRPr="00AE5C99" w:rsidRDefault="00261C5D" w:rsidP="00AE5C99">
            <w:pPr>
              <w:spacing w:after="0" w:line="240" w:lineRule="auto"/>
              <w:rPr>
                <w:rFonts w:ascii="Arial" w:hAnsi="Arial" w:cs="Arial"/>
                <w:b/>
                <w:noProof/>
                <w:lang w:val="sr-Latn-CS"/>
              </w:rPr>
            </w:pPr>
            <w:r w:rsidRPr="00AE5C99">
              <w:rPr>
                <w:rFonts w:ascii="Arial" w:hAnsi="Arial" w:cs="Arial"/>
                <w:b/>
                <w:noProof/>
                <w:lang w:val="sr-Latn-CS"/>
              </w:rPr>
              <w:t>UKUPNO</w:t>
            </w:r>
          </w:p>
        </w:tc>
        <w:tc>
          <w:tcPr>
            <w:tcW w:w="1158" w:type="dxa"/>
            <w:vAlign w:val="center"/>
          </w:tcPr>
          <w:p w:rsidR="00261C5D" w:rsidRPr="00AE5C99" w:rsidRDefault="00261C5D" w:rsidP="00AE5C99">
            <w:pPr>
              <w:spacing w:after="0" w:line="240" w:lineRule="auto"/>
              <w:jc w:val="center"/>
              <w:rPr>
                <w:rFonts w:ascii="Arial" w:hAnsi="Arial" w:cs="Arial"/>
                <w:b/>
                <w:noProof/>
                <w:lang w:val="sr-Latn-CS"/>
              </w:rPr>
            </w:pPr>
            <w:r w:rsidRPr="00AE5C99">
              <w:rPr>
                <w:rFonts w:ascii="Arial" w:hAnsi="Arial" w:cs="Arial"/>
                <w:b/>
                <w:noProof/>
                <w:lang w:val="sr-Latn-CS"/>
              </w:rPr>
              <w:t>12</w:t>
            </w:r>
          </w:p>
        </w:tc>
      </w:tr>
    </w:tbl>
    <w:p w:rsidR="00D021C0" w:rsidRPr="00AE5C99" w:rsidRDefault="00D021C0" w:rsidP="00AE5C99">
      <w:pPr>
        <w:shd w:val="clear" w:color="auto" w:fill="FFFFFF" w:themeFill="background1"/>
        <w:spacing w:after="0" w:line="240" w:lineRule="auto"/>
        <w:jc w:val="both"/>
        <w:rPr>
          <w:rFonts w:ascii="Arial" w:hAnsi="Arial" w:cs="Arial"/>
          <w:b/>
          <w:noProof/>
          <w:lang w:val="sr-Latn-CS"/>
        </w:rPr>
      </w:pPr>
    </w:p>
    <w:p w:rsidR="00D620F2" w:rsidRPr="00AE5C99" w:rsidRDefault="00D620F2" w:rsidP="00AE5C99">
      <w:pPr>
        <w:shd w:val="clear" w:color="auto" w:fill="FFFFFF" w:themeFill="background1"/>
        <w:spacing w:after="0" w:line="240" w:lineRule="auto"/>
        <w:jc w:val="both"/>
        <w:rPr>
          <w:rFonts w:ascii="Arial" w:hAnsi="Arial" w:cs="Arial"/>
          <w:noProof/>
          <w:lang w:val="sr-Latn-CS"/>
        </w:rPr>
      </w:pPr>
      <w:r w:rsidRPr="00AE5C99">
        <w:rPr>
          <w:rFonts w:ascii="Arial" w:hAnsi="Arial" w:cs="Arial"/>
          <w:b/>
          <w:noProof/>
          <w:lang w:val="sr-Latn-CS"/>
        </w:rPr>
        <w:t>Napomena:</w:t>
      </w:r>
      <w:r w:rsidRPr="00AE5C99">
        <w:rPr>
          <w:rFonts w:ascii="Arial" w:hAnsi="Arial" w:cs="Arial"/>
          <w:noProof/>
          <w:lang w:val="sr-Latn-CS"/>
        </w:rPr>
        <w:t xml:space="preserve"> Zaposleni treba da ispunjavaju uslove propisane čl. 93 Zakona o rudarstvu („Sl. list CG“, br. 65/08). </w:t>
      </w:r>
    </w:p>
    <w:p w:rsidR="00D021C0" w:rsidRPr="00AE5C99" w:rsidRDefault="00D021C0" w:rsidP="00AE5C99">
      <w:pPr>
        <w:spacing w:after="0" w:line="240" w:lineRule="auto"/>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13" w:name="_Toc4581259"/>
      <w:r w:rsidRPr="00AE5C99">
        <w:rPr>
          <w:noProof/>
          <w:lang w:val="sr-Latn-CS"/>
        </w:rPr>
        <w:t>MJERE ZA ZAŠTITU ŽIVOTNE SREDINE</w:t>
      </w:r>
      <w:bookmarkEnd w:id="13"/>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Detaljna geološka istraživanja u manjoj mjeri mogu imati uticaj na životnu sredinu, dok eksploatacija i obrada mineralne sirovine, a time i tehničko-građevinskog kamena, je proces koji se, sa aspekta ekologije, smatra rizičnim.</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U zakonskim propisima koji regulušu zaštitu životne sredine naglašeni su osnovni principi njene zaštite, i to: prirodnih vrijednosti zemljišta, vode i vazduha, kao i biodiverziteta (biljni i životinjski svijet).</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Shodno naprijed navedenom, Koncesi</w:t>
      </w:r>
      <w:r w:rsidR="00D75329" w:rsidRPr="00AE5C99">
        <w:rPr>
          <w:rFonts w:ascii="Arial" w:hAnsi="Arial" w:cs="Arial"/>
          <w:noProof/>
          <w:lang w:val="sr-Latn-CS"/>
        </w:rPr>
        <w:t>o</w:t>
      </w:r>
      <w:r w:rsidRPr="00AE5C99">
        <w:rPr>
          <w:rFonts w:ascii="Arial" w:hAnsi="Arial" w:cs="Arial"/>
          <w:noProof/>
          <w:lang w:val="sr-Latn-CS"/>
        </w:rPr>
        <w:t>nar je dužan da na istražno-ekspl</w:t>
      </w:r>
      <w:r w:rsidR="00F10DEF" w:rsidRPr="00AE5C99">
        <w:rPr>
          <w:rFonts w:ascii="Arial" w:hAnsi="Arial" w:cs="Arial"/>
          <w:noProof/>
          <w:lang w:val="sr-Latn-CS"/>
        </w:rPr>
        <w:t xml:space="preserve">oatacionom prostoru </w:t>
      </w:r>
      <w:r w:rsidR="00430D05" w:rsidRPr="00AE5C99">
        <w:rPr>
          <w:rFonts w:ascii="Arial" w:hAnsi="Arial" w:cs="Arial"/>
          <w:noProof/>
          <w:lang w:val="sr-Latn-CS"/>
        </w:rPr>
        <w:t>„</w:t>
      </w:r>
      <w:r w:rsidR="001D297B" w:rsidRPr="00AE5C99">
        <w:rPr>
          <w:rFonts w:ascii="Arial" w:hAnsi="Arial" w:cs="Arial"/>
          <w:noProof/>
          <w:lang w:val="sr-Latn-CS"/>
        </w:rPr>
        <w:t>Velji Zabio”</w:t>
      </w:r>
      <w:r w:rsidRPr="00AE5C99">
        <w:rPr>
          <w:rFonts w:ascii="Arial" w:hAnsi="Arial" w:cs="Arial"/>
          <w:noProof/>
          <w:lang w:val="sr-Latn-CS"/>
        </w:rPr>
        <w:t>, pri planiranju i sprovođen</w:t>
      </w:r>
      <w:r w:rsidR="00D75329" w:rsidRPr="00AE5C99">
        <w:rPr>
          <w:rFonts w:ascii="Arial" w:hAnsi="Arial" w:cs="Arial"/>
          <w:noProof/>
          <w:lang w:val="sr-Latn-CS"/>
        </w:rPr>
        <w:t>ju investicionog zahvata, sprove</w:t>
      </w:r>
      <w:r w:rsidRPr="00AE5C99">
        <w:rPr>
          <w:rFonts w:ascii="Arial" w:hAnsi="Arial" w:cs="Arial"/>
          <w:noProof/>
          <w:lang w:val="sr-Latn-CS"/>
        </w:rPr>
        <w:t>de postupak prethodne procjene uticaja na životnu sredinu, u s</w:t>
      </w:r>
      <w:r w:rsidR="00430D05" w:rsidRPr="00AE5C99">
        <w:rPr>
          <w:rFonts w:ascii="Arial" w:hAnsi="Arial" w:cs="Arial"/>
          <w:noProof/>
          <w:lang w:val="sr-Latn-CS"/>
        </w:rPr>
        <w:t>k</w:t>
      </w:r>
      <w:r w:rsidRPr="00AE5C99">
        <w:rPr>
          <w:rFonts w:ascii="Arial" w:hAnsi="Arial" w:cs="Arial"/>
          <w:noProof/>
          <w:lang w:val="sr-Latn-CS"/>
        </w:rPr>
        <w:t>ladu sa zakonom.</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Shodno ovome, ekološko-tehnički uslovi treba da obezbijede zaštitu od uticaja buke, vibracija, prašine i d</w:t>
      </w:r>
      <w:r w:rsidR="00D75329" w:rsidRPr="00AE5C99">
        <w:rPr>
          <w:rFonts w:ascii="Arial" w:hAnsi="Arial" w:cs="Arial"/>
          <w:noProof/>
          <w:lang w:val="sr-Latn-CS"/>
        </w:rPr>
        <w:t>r</w:t>
      </w:r>
      <w:r w:rsidRPr="00AE5C99">
        <w:rPr>
          <w:rFonts w:ascii="Arial" w:hAnsi="Arial" w:cs="Arial"/>
          <w:noProof/>
          <w:lang w:val="sr-Latn-CS"/>
        </w:rPr>
        <w:t>ugih štetnih uticaja po okolinu. Ove zahtjeve Koncesionar treba imati u vidu prilikom izbora opreme i mehanizacije, odnosno, da se od proizvođača istih posjeduje garancija za ispunjavanje zakonom propisanih standarda.</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Nadležni državni organ procjenjuje potrebu izrade Elaborata o procjeni uticaja zahvata na životnu sredinu, koji se radi u skladu sa Zakonom o procjeni uticaja zahvata na životnu sredinu („Sl. list RCG“, br. 80/05 i „Sl. list CG“, br. 40/10, 73/10, 40/11 i 27/13).</w:t>
      </w:r>
    </w:p>
    <w:p w:rsidR="00D021C0" w:rsidRPr="00AE5C99" w:rsidRDefault="00D021C0" w:rsidP="00AE5C99">
      <w:pPr>
        <w:pStyle w:val="BodyText"/>
        <w:spacing w:after="0" w:line="240" w:lineRule="auto"/>
        <w:jc w:val="both"/>
        <w:rPr>
          <w:rFonts w:ascii="Arial" w:hAnsi="Arial" w:cs="Arial"/>
          <w:noProof/>
          <w:lang w:val="sr-Latn-CS"/>
        </w:rPr>
      </w:pPr>
    </w:p>
    <w:p w:rsidR="004B061D" w:rsidRPr="00AE5C99" w:rsidRDefault="004B061D" w:rsidP="00AE5C99">
      <w:pPr>
        <w:pStyle w:val="BodyText"/>
        <w:spacing w:after="0" w:line="240" w:lineRule="auto"/>
        <w:jc w:val="both"/>
        <w:rPr>
          <w:rFonts w:ascii="Arial" w:hAnsi="Arial" w:cs="Arial"/>
          <w:noProof/>
          <w:lang w:val="sr-Latn-CS"/>
        </w:rPr>
      </w:pPr>
      <w:bookmarkStart w:id="14" w:name="_Toc402262949"/>
      <w:r w:rsidRPr="00AE5C99">
        <w:rPr>
          <w:rFonts w:ascii="Arial" w:hAnsi="Arial" w:cs="Arial"/>
          <w:noProof/>
          <w:lang w:val="sr-Latn-CS"/>
        </w:rPr>
        <w:t>S obzirom na značaj očuvanja životne sredine, Koncesionar je dužan da se pridržava svih mjera zaštite u skladu sa zakonskim propisima.</w:t>
      </w:r>
    </w:p>
    <w:p w:rsidR="00D021C0" w:rsidRPr="00AE5C99" w:rsidRDefault="00D021C0" w:rsidP="00AE5C99">
      <w:pPr>
        <w:pStyle w:val="BodyText"/>
        <w:spacing w:after="0" w:line="240" w:lineRule="auto"/>
        <w:jc w:val="both"/>
        <w:rPr>
          <w:rFonts w:ascii="Arial" w:hAnsi="Arial" w:cs="Arial"/>
          <w:noProof/>
          <w:lang w:val="sr-Latn-CS"/>
        </w:rPr>
      </w:pPr>
    </w:p>
    <w:p w:rsidR="004B061D" w:rsidRPr="00AE5C99" w:rsidRDefault="004B061D" w:rsidP="00AE5C99">
      <w:pPr>
        <w:spacing w:after="0" w:line="240" w:lineRule="auto"/>
        <w:jc w:val="both"/>
        <w:rPr>
          <w:rFonts w:ascii="Arial" w:hAnsi="Arial" w:cs="Arial"/>
          <w:noProof/>
          <w:lang w:val="sr-Latn-CS"/>
        </w:rPr>
      </w:pPr>
      <w:r w:rsidRPr="00AE5C99">
        <w:rPr>
          <w:rFonts w:ascii="Arial" w:hAnsi="Arial" w:cs="Arial"/>
          <w:noProof/>
          <w:lang w:val="sr-Latn-CS"/>
        </w:rPr>
        <w:t>Zakonska regulativa koja uređuje ovu djelatnost je sljedeća:</w:t>
      </w:r>
    </w:p>
    <w:p w:rsidR="00D021C0" w:rsidRPr="00AE5C99" w:rsidRDefault="00D021C0" w:rsidP="00AE5C99">
      <w:pPr>
        <w:spacing w:after="0" w:line="240" w:lineRule="auto"/>
        <w:jc w:val="both"/>
        <w:rPr>
          <w:rFonts w:ascii="Arial" w:hAnsi="Arial" w:cs="Arial"/>
          <w:noProof/>
          <w:lang w:val="sr-Latn-CS"/>
        </w:rPr>
      </w:pP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Zakon o procjeni uticaja zahvata na životnu sredinu („Sl. list RCG“, br. 80/05 i „Sl. list CG“, br. 40/10, 73/10, 40/11, 27/13 i 52/16);</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Zakon o zaštiti prirode („Sl. list CG“, br. 54/16);</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Uredba o projektima za koje se vrši procjena uticaja na životnu sredinu („Sl. list RCG“, br. 20/07 i „Sl. list CG“, br. 47/13 i 53/14);</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Uredba o visini naknada, načinu obračuna i plaćanja naknada zbog zagađenja životne sredine („Sl. list RCG“, br. 26/97, 09/00 i 52/00 i „Sl. list CG“, br. 33/08, 05/09, 64/09, 40/11 i 49/11);</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Pravilnik o sadržaju dokumentacije koja se podnosi uz zahtjev za odlučivanje o potrebi procjene uticaja na životnu sredinu („Sl. list CG“, br. 14/07);</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Pravilnik o sadržaju dokumentacije koja se podnosi uz zahtjev za određivanje obima i sadržaja Elaborata o procjeni uticaja na životnu sredinu („Sl. list CG“, br. 14/07);</w:t>
      </w:r>
    </w:p>
    <w:p w:rsidR="004B061D" w:rsidRPr="00AE5C99" w:rsidRDefault="004B061D" w:rsidP="00AE5C99">
      <w:pPr>
        <w:pStyle w:val="ListParagraph"/>
        <w:numPr>
          <w:ilvl w:val="0"/>
          <w:numId w:val="22"/>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Pravilnik o sadržini Elaborata o procjeni uticaja na životnu sredinu („Sl. list CG“, br. 14/07).</w:t>
      </w:r>
    </w:p>
    <w:p w:rsidR="00D021C0" w:rsidRPr="00AE5C99" w:rsidRDefault="00D021C0" w:rsidP="00AE5C99">
      <w:pPr>
        <w:spacing w:line="240" w:lineRule="auto"/>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15" w:name="_Toc4581260"/>
      <w:r w:rsidRPr="00AE5C99">
        <w:rPr>
          <w:noProof/>
          <w:lang w:val="sr-Latn-CS"/>
        </w:rPr>
        <w:t xml:space="preserve">REKULTIVACIJA ISTRAŽNO-EKSPLOATACIONOG PROSTORA </w:t>
      </w:r>
      <w:r w:rsidR="00430D05" w:rsidRPr="00AE5C99">
        <w:rPr>
          <w:noProof/>
          <w:lang w:val="sr-Latn-CS"/>
        </w:rPr>
        <w:t xml:space="preserve">„VELJI ZABIO </w:t>
      </w:r>
      <w:r w:rsidR="001D297B" w:rsidRPr="00AE5C99">
        <w:rPr>
          <w:noProof/>
          <w:lang w:val="sr-Latn-CS"/>
        </w:rPr>
        <w:t>”</w:t>
      </w:r>
      <w:bookmarkEnd w:id="14"/>
      <w:bookmarkEnd w:id="15"/>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Negativni uticaji budućih rudarskih aktivnosti </w:t>
      </w:r>
      <w:r w:rsidR="00B77602" w:rsidRPr="00AE5C99">
        <w:rPr>
          <w:rFonts w:ascii="Arial" w:hAnsi="Arial" w:cs="Arial"/>
          <w:noProof/>
          <w:lang w:val="sr-Latn-CS"/>
        </w:rPr>
        <w:t>na</w:t>
      </w:r>
      <w:r w:rsidR="00F10DEF" w:rsidRPr="00AE5C99">
        <w:rPr>
          <w:rFonts w:ascii="Arial" w:hAnsi="Arial" w:cs="Arial"/>
          <w:noProof/>
          <w:lang w:val="sr-Latn-CS"/>
        </w:rPr>
        <w:t xml:space="preserve"> površinskom kopu </w:t>
      </w:r>
      <w:r w:rsidR="00430D05" w:rsidRPr="00AE5C99">
        <w:rPr>
          <w:rFonts w:ascii="Arial" w:hAnsi="Arial" w:cs="Arial"/>
          <w:noProof/>
          <w:lang w:val="sr-Latn-CS"/>
        </w:rPr>
        <w:t>„</w:t>
      </w:r>
      <w:r w:rsidR="001D297B" w:rsidRPr="00AE5C99">
        <w:rPr>
          <w:rFonts w:ascii="Arial" w:hAnsi="Arial" w:cs="Arial"/>
          <w:noProof/>
          <w:lang w:val="sr-Latn-CS"/>
        </w:rPr>
        <w:t>Velji Zabio”</w:t>
      </w:r>
      <w:r w:rsidRPr="00AE5C99">
        <w:rPr>
          <w:rFonts w:ascii="Arial" w:hAnsi="Arial" w:cs="Arial"/>
          <w:noProof/>
          <w:lang w:val="sr-Latn-CS"/>
        </w:rPr>
        <w:t xml:space="preserve"> sa kvalitativnom procjenom mogućih nepovoljnih uticaja na radnu i životnu sredinu, obrađeni su u poglavlju </w:t>
      </w:r>
      <w:r w:rsidR="00F765BD" w:rsidRPr="00AE5C99">
        <w:rPr>
          <w:rFonts w:ascii="Arial" w:hAnsi="Arial" w:cs="Arial"/>
          <w:noProof/>
          <w:lang w:val="sr-Latn-CS"/>
        </w:rPr>
        <w:t>5.</w:t>
      </w:r>
      <w:r w:rsidR="00430D05" w:rsidRPr="00AE5C99">
        <w:rPr>
          <w:rFonts w:ascii="Arial" w:hAnsi="Arial" w:cs="Arial"/>
          <w:noProof/>
          <w:lang w:val="sr-Latn-CS"/>
        </w:rPr>
        <w:t xml:space="preserve"> </w:t>
      </w:r>
      <w:r w:rsidRPr="00AE5C99">
        <w:rPr>
          <w:rFonts w:ascii="Arial" w:hAnsi="Arial" w:cs="Arial"/>
          <w:noProof/>
          <w:lang w:val="sr-Latn-CS"/>
        </w:rPr>
        <w:t>Mjere za zaštitu životne sredine.</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U ovom poglavlju se obrađuje faza rekultivacije istražno-eksploatacionog prostora.</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Novi zakonski uslovi za eksploataciju zahtijevaju da se izvrši rekultivacija prostora koji će biti degradiran obavljanjem koncesione djelatnosti, a sve to u cilju poboljšanja ekoloških uslova na samom lokalitetu i neposrednoj okolini.</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Ako bi se degradirane površine ostavile, nakon izvođenja radova na eksploataciji, u istom stanju, mogu se očekivati neki od sljedećih negativnih uticaja:</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ListParagraph"/>
        <w:numPr>
          <w:ilvl w:val="0"/>
          <w:numId w:val="21"/>
        </w:numPr>
        <w:suppressAutoHyphens/>
        <w:spacing w:after="0" w:line="240" w:lineRule="auto"/>
        <w:jc w:val="both"/>
        <w:rPr>
          <w:rFonts w:ascii="Arial" w:hAnsi="Arial" w:cs="Arial"/>
          <w:noProof/>
          <w:lang w:val="sr-Latn-CS"/>
        </w:rPr>
      </w:pPr>
      <w:r w:rsidRPr="00AE5C99">
        <w:rPr>
          <w:rFonts w:ascii="Arial" w:hAnsi="Arial" w:cs="Arial"/>
          <w:noProof/>
          <w:lang w:val="sr-Latn-CS"/>
        </w:rPr>
        <w:t>produžavanje nepovoljnog uticaja pejzažnog izgleda terena,</w:t>
      </w:r>
    </w:p>
    <w:p w:rsidR="00D620F2" w:rsidRPr="00AE5C99" w:rsidRDefault="00D620F2" w:rsidP="00AE5C99">
      <w:pPr>
        <w:pStyle w:val="ListParagraph"/>
        <w:numPr>
          <w:ilvl w:val="0"/>
          <w:numId w:val="21"/>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t xml:space="preserve">pogoršavanje stanja degradiranih površina zbog </w:t>
      </w:r>
      <w:r w:rsidR="00DA601A" w:rsidRPr="00AE5C99">
        <w:rPr>
          <w:rFonts w:ascii="Arial" w:hAnsi="Arial" w:cs="Arial"/>
          <w:noProof/>
          <w:lang w:val="sr-Latn-CS"/>
        </w:rPr>
        <w:t>ležišta</w:t>
      </w:r>
      <w:r w:rsidRPr="00AE5C99">
        <w:rPr>
          <w:rFonts w:ascii="Arial" w:hAnsi="Arial" w:cs="Arial"/>
          <w:noProof/>
          <w:lang w:val="sr-Latn-CS"/>
        </w:rPr>
        <w:t xml:space="preserve"> erozije, klizišta i sl.,</w:t>
      </w:r>
    </w:p>
    <w:p w:rsidR="00D620F2" w:rsidRPr="00AE5C99" w:rsidRDefault="00D620F2" w:rsidP="00AE5C99">
      <w:pPr>
        <w:pStyle w:val="ListParagraph"/>
        <w:numPr>
          <w:ilvl w:val="0"/>
          <w:numId w:val="21"/>
        </w:numPr>
        <w:suppressAutoHyphens/>
        <w:spacing w:after="0" w:line="240" w:lineRule="auto"/>
        <w:contextualSpacing w:val="0"/>
        <w:jc w:val="both"/>
        <w:rPr>
          <w:rFonts w:ascii="Arial" w:hAnsi="Arial" w:cs="Arial"/>
          <w:noProof/>
          <w:lang w:val="sr-Latn-CS"/>
        </w:rPr>
      </w:pPr>
      <w:r w:rsidRPr="00AE5C99">
        <w:rPr>
          <w:rFonts w:ascii="Arial" w:hAnsi="Arial" w:cs="Arial"/>
          <w:noProof/>
          <w:lang w:val="sr-Latn-CS"/>
        </w:rPr>
        <w:lastRenderedPageBreak/>
        <w:t>produžavanje negativnih uticaja na vazduh i okolno zemljište (podizanje prašine izazvane vjetrom, odnošenje materijala površinskim – atmosferskim vodama).</w:t>
      </w:r>
    </w:p>
    <w:p w:rsidR="00D021C0" w:rsidRPr="00AE5C99" w:rsidRDefault="00D021C0" w:rsidP="00AE5C99">
      <w:pPr>
        <w:pStyle w:val="BodyText"/>
        <w:spacing w:after="0" w:line="240" w:lineRule="auto"/>
        <w:jc w:val="both"/>
        <w:rPr>
          <w:rFonts w:ascii="Arial" w:hAnsi="Arial" w:cs="Arial"/>
          <w:noProof/>
          <w:lang w:val="sr-Latn-CS"/>
        </w:rPr>
      </w:pPr>
    </w:p>
    <w:p w:rsidR="00732534" w:rsidRPr="00AE5C99" w:rsidRDefault="005047E3" w:rsidP="00AE5C99">
      <w:pPr>
        <w:spacing w:after="0" w:line="240" w:lineRule="auto"/>
        <w:jc w:val="both"/>
        <w:rPr>
          <w:rFonts w:ascii="Arial" w:hAnsi="Arial" w:cs="Arial"/>
          <w:noProof/>
          <w:lang w:val="sr-Latn-CS"/>
        </w:rPr>
      </w:pPr>
      <w:r w:rsidRPr="00AE5C99">
        <w:rPr>
          <w:rFonts w:ascii="Arial" w:hAnsi="Arial" w:cs="Arial"/>
          <w:noProof/>
          <w:lang w:val="sr-Latn-CS"/>
        </w:rPr>
        <w:t>Projekat se mora realizovati u fazama, odnosno radovi na rekultivaciji izvoditi sukcesivno, paralelno sa razvojem kopa. To znači da je sa radovima na rekultivaciji potrebno početi odmah po završetku svake etaže.</w:t>
      </w:r>
      <w:r w:rsidR="00732534" w:rsidRPr="00AE5C99">
        <w:rPr>
          <w:rFonts w:ascii="Arial" w:hAnsi="Arial" w:cs="Arial"/>
          <w:noProof/>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D021C0" w:rsidRPr="00AE5C99" w:rsidRDefault="00D021C0" w:rsidP="00AE5C99">
      <w:pPr>
        <w:pStyle w:val="BodyText"/>
        <w:spacing w:after="0" w:line="240" w:lineRule="auto"/>
        <w:jc w:val="both"/>
        <w:rPr>
          <w:rFonts w:ascii="Arial" w:hAnsi="Arial" w:cs="Arial"/>
          <w:noProof/>
          <w:lang w:val="sr-Latn-CS"/>
        </w:rPr>
      </w:pPr>
    </w:p>
    <w:p w:rsidR="000B1014" w:rsidRPr="00AE5C99" w:rsidRDefault="000B1014"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D021C0" w:rsidRPr="00AE5C99" w:rsidRDefault="00D021C0" w:rsidP="00AE5C99">
      <w:pPr>
        <w:pStyle w:val="BodyText"/>
        <w:spacing w:after="0" w:line="240" w:lineRule="auto"/>
        <w:jc w:val="both"/>
        <w:rPr>
          <w:rFonts w:ascii="Arial" w:hAnsi="Arial" w:cs="Arial"/>
          <w:noProof/>
          <w:lang w:val="sr-Latn-CS"/>
        </w:rPr>
      </w:pPr>
    </w:p>
    <w:p w:rsidR="000B1014" w:rsidRPr="00AE5C99" w:rsidRDefault="000B1014"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Zbog velike važnosti ove faze rada, zakonskim propisima utvrđena je obaveza izrade projektnih rješenja rekultivacije, izradom Glavnog rudarsko</w:t>
      </w:r>
      <w:r w:rsidR="002A7265" w:rsidRPr="00AE5C99">
        <w:rPr>
          <w:rFonts w:ascii="Arial" w:hAnsi="Arial" w:cs="Arial"/>
          <w:noProof/>
          <w:lang w:val="sr-Latn-CS"/>
        </w:rPr>
        <w:t>g projekta (Pravilnik o sadržaju</w:t>
      </w:r>
      <w:r w:rsidRPr="00AE5C99">
        <w:rPr>
          <w:rFonts w:ascii="Arial" w:hAnsi="Arial" w:cs="Arial"/>
          <w:noProof/>
          <w:lang w:val="sr-Latn-CS"/>
        </w:rPr>
        <w:t xml:space="preserve"> rudarskih projekata) ili izradom posebnog tehničkog projekta rekultivacije, koji je sastavni dio Glavnog rudarskog projekta.</w:t>
      </w:r>
    </w:p>
    <w:p w:rsidR="00D021C0" w:rsidRPr="00AE5C99" w:rsidRDefault="00D021C0" w:rsidP="00AE5C99">
      <w:pPr>
        <w:pStyle w:val="BodyText"/>
        <w:spacing w:after="0" w:line="240" w:lineRule="auto"/>
        <w:jc w:val="both"/>
        <w:rPr>
          <w:rFonts w:ascii="Arial" w:hAnsi="Arial" w:cs="Arial"/>
          <w:noProof/>
          <w:lang w:val="sr-Latn-CS"/>
        </w:rPr>
      </w:pPr>
    </w:p>
    <w:p w:rsidR="000B1014" w:rsidRPr="00AE5C99" w:rsidRDefault="000B1014"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4B061D" w:rsidRPr="00AE5C99" w:rsidRDefault="004B061D" w:rsidP="00AE5C99">
      <w:pPr>
        <w:spacing w:after="0" w:line="240" w:lineRule="auto"/>
        <w:rPr>
          <w:rFonts w:ascii="Arial" w:hAnsi="Arial" w:cs="Arial"/>
          <w:noProof/>
          <w:lang w:val="sr-Latn-CS"/>
        </w:rPr>
      </w:pPr>
    </w:p>
    <w:p w:rsidR="00D620F2" w:rsidRPr="00AE5C99" w:rsidRDefault="00D620F2" w:rsidP="00AE5C99">
      <w:pPr>
        <w:pStyle w:val="Heading2"/>
        <w:numPr>
          <w:ilvl w:val="1"/>
          <w:numId w:val="18"/>
        </w:numPr>
        <w:spacing w:before="0" w:after="0" w:line="240" w:lineRule="auto"/>
        <w:rPr>
          <w:b/>
          <w:i/>
          <w:noProof/>
          <w:lang w:val="sr-Latn-CS"/>
        </w:rPr>
      </w:pPr>
      <w:bookmarkStart w:id="16" w:name="_Toc402262950"/>
      <w:r w:rsidRPr="00AE5C99">
        <w:rPr>
          <w:b/>
          <w:i/>
          <w:noProof/>
          <w:lang w:val="sr-Latn-CS"/>
        </w:rPr>
        <w:t>Zaključak</w:t>
      </w:r>
      <w:bookmarkEnd w:id="16"/>
    </w:p>
    <w:p w:rsidR="00D021C0" w:rsidRPr="00AE5C99" w:rsidRDefault="00D021C0" w:rsidP="00AE5C99">
      <w:pPr>
        <w:pStyle w:val="BodyText"/>
        <w:spacing w:after="0" w:line="240" w:lineRule="auto"/>
        <w:jc w:val="both"/>
        <w:rPr>
          <w:rFonts w:ascii="Arial" w:hAnsi="Arial" w:cs="Arial"/>
          <w:noProof/>
          <w:lang w:val="sr-Latn-CS"/>
        </w:rPr>
      </w:pPr>
    </w:p>
    <w:p w:rsidR="00732534"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w:t>
      </w:r>
      <w:r w:rsidR="00BF5CFA" w:rsidRPr="00AE5C99">
        <w:rPr>
          <w:rFonts w:ascii="Arial" w:hAnsi="Arial" w:cs="Arial"/>
          <w:noProof/>
          <w:lang w:val="sr-Latn-CS"/>
        </w:rPr>
        <w:t>,</w:t>
      </w:r>
      <w:r w:rsidRPr="00AE5C99">
        <w:rPr>
          <w:rFonts w:ascii="Arial" w:hAnsi="Arial" w:cs="Arial"/>
          <w:noProof/>
          <w:lang w:val="sr-Latn-CS"/>
        </w:rPr>
        <w:t xml:space="preserve"> od strane organa državne uprave nadležnog za poslove zaštite životne sredine</w:t>
      </w:r>
      <w:r w:rsidR="00BF5CFA" w:rsidRPr="00AE5C99">
        <w:rPr>
          <w:rFonts w:ascii="Arial" w:hAnsi="Arial" w:cs="Arial"/>
          <w:noProof/>
          <w:lang w:val="sr-Latn-CS"/>
        </w:rPr>
        <w:t>,</w:t>
      </w:r>
      <w:r w:rsidRPr="00AE5C99">
        <w:rPr>
          <w:rFonts w:ascii="Arial" w:hAnsi="Arial" w:cs="Arial"/>
          <w:noProof/>
          <w:lang w:val="sr-Latn-CS"/>
        </w:rPr>
        <w:t xml:space="preserve"> data saglasnost i mjere zaštite voda u skladu sa zakonom.</w:t>
      </w: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O naprijed navedenim mjerama izvještavaju se nadležno ministarstvo za rudarstvo i ministarstva nadležna za poslove poljoprivrede, vodoprivrede, zaštite životne sredine i</w:t>
      </w:r>
      <w:r w:rsidR="00732534" w:rsidRPr="00AE5C99">
        <w:rPr>
          <w:rFonts w:ascii="Arial" w:hAnsi="Arial" w:cs="Arial"/>
          <w:noProof/>
          <w:lang w:val="sr-Latn-CS"/>
        </w:rPr>
        <w:t xml:space="preserve"> nadležni organ lokalne uprave.</w:t>
      </w:r>
      <w:r w:rsidR="00430D05" w:rsidRPr="00AE5C99">
        <w:rPr>
          <w:rFonts w:ascii="Arial" w:hAnsi="Arial" w:cs="Arial"/>
          <w:noProof/>
          <w:lang w:val="sr-Latn-CS"/>
        </w:rPr>
        <w:t xml:space="preserve"> </w:t>
      </w:r>
      <w:r w:rsidRPr="00AE5C99">
        <w:rPr>
          <w:rFonts w:ascii="Arial" w:hAnsi="Arial" w:cs="Arial"/>
          <w:noProof/>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32534" w:rsidRPr="00AE5C99" w:rsidRDefault="00732534"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Visina sredstava za sanaciju i rekultivaciju prostora na kojem se izvode rudarski radovi, način obračunavanja, plaćanja i korišćenja sredstava bliže je uređen Uredbom o visini sredstava za sanaciju i rekultiva</w:t>
      </w:r>
      <w:r w:rsidR="002A7265" w:rsidRPr="00AE5C99">
        <w:rPr>
          <w:rFonts w:ascii="Arial" w:hAnsi="Arial" w:cs="Arial"/>
          <w:noProof/>
          <w:lang w:val="sr-Latn-CS"/>
        </w:rPr>
        <w:t>ciju prostora na kojem se izvode</w:t>
      </w:r>
      <w:r w:rsidRPr="00AE5C99">
        <w:rPr>
          <w:rFonts w:ascii="Arial" w:hAnsi="Arial" w:cs="Arial"/>
          <w:noProof/>
          <w:lang w:val="sr-Latn-CS"/>
        </w:rPr>
        <w:t xml:space="preserve"> rudarski radovi, načinu obračunavanja, plaćan</w:t>
      </w:r>
      <w:r w:rsidR="002A7265" w:rsidRPr="00AE5C99">
        <w:rPr>
          <w:rFonts w:ascii="Arial" w:hAnsi="Arial" w:cs="Arial"/>
          <w:noProof/>
          <w:lang w:val="sr-Latn-CS"/>
        </w:rPr>
        <w:t>ja i korišćenja tih sredstava („</w:t>
      </w:r>
      <w:r w:rsidRPr="00AE5C99">
        <w:rPr>
          <w:rFonts w:ascii="Arial" w:hAnsi="Arial" w:cs="Arial"/>
          <w:noProof/>
          <w:lang w:val="sr-Latn-CS"/>
        </w:rPr>
        <w:t>Sl. list CG”, br. 51/11).</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17" w:name="_Toc402262951"/>
      <w:bookmarkStart w:id="18" w:name="_Toc4581261"/>
      <w:r w:rsidRPr="00AE5C99">
        <w:rPr>
          <w:noProof/>
          <w:lang w:val="sr-Latn-CS"/>
        </w:rPr>
        <w:t>UNAPREĐENJE ENERGETSKE EFIKASNOSTI</w:t>
      </w:r>
      <w:bookmarkEnd w:id="17"/>
      <w:bookmarkEnd w:id="18"/>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Radi efikasnog korišćenja energije, u skladu sa odredbama Zakona o energetskoj efikasnosti </w:t>
      </w:r>
      <w:r w:rsidR="008162F7" w:rsidRPr="00AE5C99">
        <w:rPr>
          <w:rFonts w:ascii="Arial" w:hAnsi="Arial" w:cs="Arial"/>
          <w:noProof/>
          <w:lang w:val="sr-Latn-CS"/>
        </w:rPr>
        <w:t>(„</w:t>
      </w:r>
      <w:r w:rsidR="009B1797" w:rsidRPr="00AE5C99">
        <w:rPr>
          <w:rFonts w:ascii="Arial" w:hAnsi="Arial" w:cs="Arial"/>
          <w:noProof/>
          <w:spacing w:val="-12"/>
          <w:lang w:val="sr-Latn-CS"/>
        </w:rPr>
        <w:t>Sl.</w:t>
      </w:r>
      <w:r w:rsidR="008162F7" w:rsidRPr="00AE5C99">
        <w:rPr>
          <w:rFonts w:ascii="Arial" w:hAnsi="Arial" w:cs="Arial"/>
          <w:noProof/>
          <w:spacing w:val="-12"/>
          <w:lang w:val="sr-Latn-CS"/>
        </w:rPr>
        <w:t xml:space="preserve"> </w:t>
      </w:r>
      <w:r w:rsidR="009B1797" w:rsidRPr="00AE5C99">
        <w:rPr>
          <w:rFonts w:ascii="Arial" w:hAnsi="Arial" w:cs="Arial"/>
          <w:noProof/>
          <w:spacing w:val="-12"/>
          <w:lang w:val="sr-Latn-CS"/>
        </w:rPr>
        <w:t>list</w:t>
      </w:r>
      <w:r w:rsidR="009B1797" w:rsidRPr="00AE5C99">
        <w:rPr>
          <w:rFonts w:ascii="Arial" w:hAnsi="Arial" w:cs="Arial"/>
          <w:noProof/>
          <w:lang w:val="sr-Latn-CS"/>
        </w:rPr>
        <w:t xml:space="preserve">”. CG br. 57/14 3/15), </w:t>
      </w:r>
      <w:r w:rsidRPr="00AE5C99">
        <w:rPr>
          <w:rFonts w:ascii="Arial" w:hAnsi="Arial" w:cs="Arial"/>
          <w:noProof/>
          <w:lang w:val="sr-Latn-CS"/>
        </w:rPr>
        <w:t>koncesionar je dužan da preduzima mjere za poboljšanje energetske efikasnosti.</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Konces</w:t>
      </w:r>
      <w:r w:rsidR="008162F7" w:rsidRPr="00AE5C99">
        <w:rPr>
          <w:rFonts w:ascii="Arial" w:hAnsi="Arial" w:cs="Arial"/>
          <w:noProof/>
          <w:lang w:val="sr-Latn-CS"/>
        </w:rPr>
        <w:t>i</w:t>
      </w:r>
      <w:r w:rsidRPr="00AE5C99">
        <w:rPr>
          <w:rFonts w:ascii="Arial" w:hAnsi="Arial" w:cs="Arial"/>
          <w:noProof/>
          <w:lang w:val="sr-Latn-CS"/>
        </w:rPr>
        <w:t xml:space="preserve">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lastRenderedPageBreak/>
        <w:t>Sprovođenje mjera energetske efikasnosti utiče na kvalitet radne i životne sredine.</w:t>
      </w:r>
    </w:p>
    <w:p w:rsidR="00740CC3" w:rsidRPr="00AE5C99" w:rsidRDefault="00740CC3" w:rsidP="00AE5C99">
      <w:pPr>
        <w:pStyle w:val="BodyText"/>
        <w:spacing w:after="0" w:line="240" w:lineRule="auto"/>
        <w:jc w:val="both"/>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19" w:name="_Toc4581262"/>
      <w:bookmarkStart w:id="20" w:name="_Toc390549906"/>
      <w:bookmarkStart w:id="21" w:name="_Toc402262952"/>
      <w:r w:rsidRPr="00AE5C99">
        <w:rPr>
          <w:noProof/>
          <w:lang w:val="sr-Latn-CS"/>
        </w:rPr>
        <w:t>USLOVI KOJE JE DUŽAN DA ISPUNJAVA KONCESIONAR U POGLEDU TEHNIČKE OPREMLJENOSTI, FINANSIJSKE SPOSOBNOSTI I OSTALE REFERENCE I DOKAZE O ISPUNJAVANJU TIH USLOVA</w:t>
      </w:r>
      <w:bookmarkEnd w:id="19"/>
      <w:r w:rsidRPr="00AE5C99">
        <w:rPr>
          <w:noProof/>
          <w:lang w:val="sr-Latn-CS"/>
        </w:rPr>
        <w:t xml:space="preserve"> </w:t>
      </w:r>
      <w:bookmarkEnd w:id="20"/>
      <w:bookmarkEnd w:id="21"/>
    </w:p>
    <w:p w:rsidR="00D620F2" w:rsidRPr="00AE5C99" w:rsidRDefault="00D620F2" w:rsidP="00AE5C99">
      <w:pPr>
        <w:spacing w:after="0" w:line="240" w:lineRule="auto"/>
        <w:jc w:val="center"/>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Obaveze koncesionara u pogledu ispunjavanja uslova definisanih u ovom poglavlju su sljedeće:</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numPr>
          <w:ilvl w:val="0"/>
          <w:numId w:val="3"/>
        </w:numPr>
        <w:suppressAutoHyphens/>
        <w:spacing w:after="0" w:line="240" w:lineRule="auto"/>
        <w:jc w:val="both"/>
        <w:rPr>
          <w:rFonts w:ascii="Arial" w:hAnsi="Arial" w:cs="Arial"/>
          <w:noProof/>
          <w:lang w:val="sr-Latn-CS"/>
        </w:rPr>
      </w:pPr>
      <w:r w:rsidRPr="00AE5C99">
        <w:rPr>
          <w:rFonts w:ascii="Arial" w:hAnsi="Arial" w:cs="Arial"/>
          <w:noProof/>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B77602" w:rsidRPr="00AE5C99" w:rsidRDefault="00D620F2" w:rsidP="00AE5C99">
      <w:pPr>
        <w:numPr>
          <w:ilvl w:val="0"/>
          <w:numId w:val="3"/>
        </w:numPr>
        <w:suppressAutoHyphens/>
        <w:spacing w:after="0" w:line="240" w:lineRule="auto"/>
        <w:jc w:val="both"/>
        <w:rPr>
          <w:rFonts w:ascii="Arial" w:hAnsi="Arial" w:cs="Arial"/>
          <w:noProof/>
          <w:lang w:val="sr-Latn-CS"/>
        </w:rPr>
      </w:pPr>
      <w:r w:rsidRPr="00AE5C99">
        <w:rPr>
          <w:rFonts w:ascii="Arial" w:hAnsi="Arial" w:cs="Arial"/>
          <w:noProof/>
          <w:lang w:val="sr-Latn-CS"/>
        </w:rPr>
        <w:t>da obezbijedi svu potrebnu geološku i rudarsku dokumentaciju, odobrenja i saglasnosti potrebnih za zakonito izvođenje radova;</w:t>
      </w:r>
    </w:p>
    <w:p w:rsidR="00D620F2" w:rsidRPr="00AE5C99" w:rsidRDefault="00D620F2" w:rsidP="00AE5C99">
      <w:pPr>
        <w:numPr>
          <w:ilvl w:val="0"/>
          <w:numId w:val="3"/>
        </w:numPr>
        <w:suppressAutoHyphens/>
        <w:spacing w:after="0" w:line="240" w:lineRule="auto"/>
        <w:jc w:val="both"/>
        <w:rPr>
          <w:rFonts w:ascii="Arial" w:hAnsi="Arial" w:cs="Arial"/>
          <w:noProof/>
          <w:lang w:val="sr-Latn-CS"/>
        </w:rPr>
      </w:pPr>
      <w:r w:rsidRPr="00AE5C99">
        <w:rPr>
          <w:rFonts w:ascii="Arial" w:hAnsi="Arial" w:cs="Arial"/>
          <w:noProof/>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D620F2" w:rsidRPr="00AE5C99" w:rsidRDefault="00D620F2" w:rsidP="00AE5C99">
      <w:pPr>
        <w:numPr>
          <w:ilvl w:val="0"/>
          <w:numId w:val="3"/>
        </w:numPr>
        <w:suppressAutoHyphens/>
        <w:spacing w:after="0" w:line="240" w:lineRule="auto"/>
        <w:jc w:val="both"/>
        <w:rPr>
          <w:rFonts w:ascii="Arial" w:hAnsi="Arial" w:cs="Arial"/>
          <w:noProof/>
          <w:lang w:val="sr-Latn-CS"/>
        </w:rPr>
      </w:pPr>
      <w:r w:rsidRPr="00AE5C99">
        <w:rPr>
          <w:rFonts w:ascii="Arial" w:hAnsi="Arial" w:cs="Arial"/>
          <w:noProof/>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D620F2" w:rsidRPr="00AE5C99" w:rsidRDefault="00D620F2" w:rsidP="00AE5C99">
      <w:pPr>
        <w:numPr>
          <w:ilvl w:val="0"/>
          <w:numId w:val="3"/>
        </w:numPr>
        <w:suppressAutoHyphens/>
        <w:spacing w:after="0" w:line="240" w:lineRule="auto"/>
        <w:jc w:val="both"/>
        <w:rPr>
          <w:rFonts w:ascii="Arial" w:hAnsi="Arial" w:cs="Arial"/>
          <w:noProof/>
          <w:lang w:val="sr-Latn-CS"/>
        </w:rPr>
      </w:pPr>
      <w:r w:rsidRPr="00AE5C99">
        <w:rPr>
          <w:rFonts w:ascii="Arial" w:hAnsi="Arial" w:cs="Arial"/>
          <w:noProof/>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715AF1" w:rsidRPr="00AE5C99" w:rsidRDefault="00715AF1" w:rsidP="00AE5C99">
      <w:pPr>
        <w:suppressAutoHyphens/>
        <w:spacing w:after="0" w:line="240" w:lineRule="auto"/>
        <w:ind w:left="720"/>
        <w:jc w:val="both"/>
        <w:rPr>
          <w:rFonts w:ascii="Arial" w:hAnsi="Arial" w:cs="Arial"/>
          <w:noProof/>
          <w:lang w:val="sr-Latn-CS"/>
        </w:rPr>
      </w:pPr>
    </w:p>
    <w:p w:rsidR="00787A0E" w:rsidRPr="00AE5C99" w:rsidRDefault="00787A0E" w:rsidP="00AE5C99">
      <w:pPr>
        <w:suppressAutoHyphens/>
        <w:spacing w:after="0" w:line="240" w:lineRule="auto"/>
        <w:ind w:left="720"/>
        <w:jc w:val="both"/>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22" w:name="_Toc402262953"/>
      <w:bookmarkStart w:id="23" w:name="_Toc4581263"/>
      <w:r w:rsidRPr="00AE5C99">
        <w:rPr>
          <w:noProof/>
          <w:lang w:val="sr-Latn-CS"/>
        </w:rPr>
        <w:t>MINIMALNI – POČETNI IZNOS KONCESIONE NAKNADE</w:t>
      </w:r>
      <w:bookmarkEnd w:id="22"/>
      <w:bookmarkEnd w:id="23"/>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Za korišćenje prava na eksploataciju mineralne sirovine, zakonskim propisima predviđeno je plaćanje koncesione naknade.</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Koncesionim aktom se utvrđuje minimalni - početni iznos koncesione naknade.</w:t>
      </w:r>
    </w:p>
    <w:p w:rsidR="00732534" w:rsidRPr="00AE5C99" w:rsidRDefault="0009522A"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Minimalna</w:t>
      </w:r>
      <w:r w:rsidR="00D620F2" w:rsidRPr="00AE5C99">
        <w:rPr>
          <w:rFonts w:ascii="Arial" w:hAnsi="Arial" w:cs="Arial"/>
          <w:noProof/>
          <w:lang w:val="sr-Latn-CS"/>
        </w:rPr>
        <w:t xml:space="preserve"> koncesiona naknada se utvrđuje na osnovu Uredbe o kriterijumima i načinu obračuna iznosa minimalne koncesione naknade za ustupanje prava na istraživanje i eksploataciju mineralnih sirovina („Sl. list CG“, br. 37/11</w:t>
      </w:r>
      <w:r w:rsidR="009B1797" w:rsidRPr="00AE5C99">
        <w:rPr>
          <w:rFonts w:ascii="Arial" w:hAnsi="Arial" w:cs="Arial"/>
          <w:noProof/>
          <w:lang w:val="sr-Latn-CS"/>
        </w:rPr>
        <w:t xml:space="preserve"> i 40/16</w:t>
      </w:r>
      <w:r w:rsidR="00732534" w:rsidRPr="00AE5C99">
        <w:rPr>
          <w:rFonts w:ascii="Arial" w:hAnsi="Arial" w:cs="Arial"/>
          <w:noProof/>
          <w:lang w:val="sr-Latn-CS"/>
        </w:rPr>
        <w:t xml:space="preserve">). </w:t>
      </w:r>
    </w:p>
    <w:p w:rsidR="00732534" w:rsidRPr="00AE5C99" w:rsidRDefault="00732534" w:rsidP="00AE5C99">
      <w:pPr>
        <w:pStyle w:val="BodyText"/>
        <w:spacing w:after="0" w:line="240" w:lineRule="auto"/>
        <w:jc w:val="both"/>
        <w:rPr>
          <w:rFonts w:ascii="Arial" w:hAnsi="Arial" w:cs="Arial"/>
          <w:noProof/>
          <w:lang w:val="sr-Latn-CS"/>
        </w:rPr>
      </w:pPr>
    </w:p>
    <w:p w:rsidR="00D620F2" w:rsidRPr="00AE5C99" w:rsidRDefault="00D620F2"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Navedenom Uredbom je utvrđeno da se minimalna koncesiona naknada određuje za eksploataciju mineralnih sirovina, tj.</w:t>
      </w:r>
      <w:r w:rsidR="008162F7" w:rsidRPr="00AE5C99">
        <w:rPr>
          <w:rFonts w:ascii="Arial" w:hAnsi="Arial" w:cs="Arial"/>
          <w:noProof/>
          <w:lang w:val="sr-Latn-CS"/>
        </w:rPr>
        <w:t xml:space="preserve"> </w:t>
      </w:r>
      <w:r w:rsidRPr="00AE5C99">
        <w:rPr>
          <w:rFonts w:ascii="Arial" w:hAnsi="Arial" w:cs="Arial"/>
          <w:noProof/>
          <w:lang w:val="sr-Latn-CS"/>
        </w:rPr>
        <w:t>za period eksploatacije, a ne i za period koji je predviđen za detaljna geološka istraživanja.</w:t>
      </w:r>
    </w:p>
    <w:p w:rsidR="00D021C0" w:rsidRPr="00AE5C99" w:rsidRDefault="00D021C0" w:rsidP="00AE5C99">
      <w:pPr>
        <w:pStyle w:val="BodyText"/>
        <w:spacing w:after="0" w:line="240" w:lineRule="auto"/>
        <w:jc w:val="both"/>
        <w:rPr>
          <w:rFonts w:ascii="Arial" w:hAnsi="Arial" w:cs="Arial"/>
          <w:noProof/>
          <w:lang w:val="sr-Latn-CS"/>
        </w:rPr>
      </w:pPr>
    </w:p>
    <w:p w:rsidR="00D620F2" w:rsidRPr="00AE5C99" w:rsidRDefault="00E21B44" w:rsidP="00AE5C99">
      <w:pPr>
        <w:pStyle w:val="Heading2"/>
        <w:numPr>
          <w:ilvl w:val="1"/>
          <w:numId w:val="0"/>
        </w:numPr>
        <w:spacing w:before="0" w:after="0" w:line="240" w:lineRule="auto"/>
        <w:ind w:left="576" w:hanging="576"/>
        <w:rPr>
          <w:b/>
          <w:i/>
          <w:noProof/>
          <w:lang w:val="sr-Latn-CS"/>
        </w:rPr>
      </w:pPr>
      <w:bookmarkStart w:id="24" w:name="_Toc402262954"/>
      <w:r w:rsidRPr="00AE5C99">
        <w:rPr>
          <w:b/>
          <w:i/>
          <w:noProof/>
          <w:lang w:val="sr-Latn-CS"/>
        </w:rPr>
        <w:t>8</w:t>
      </w:r>
      <w:r w:rsidR="0056714D" w:rsidRPr="00AE5C99">
        <w:rPr>
          <w:b/>
          <w:i/>
          <w:noProof/>
          <w:lang w:val="sr-Latn-CS"/>
        </w:rPr>
        <w:t xml:space="preserve">.1. </w:t>
      </w:r>
      <w:r w:rsidR="00D620F2" w:rsidRPr="00AE5C99">
        <w:rPr>
          <w:b/>
          <w:i/>
          <w:noProof/>
          <w:lang w:val="sr-Latn-CS"/>
        </w:rPr>
        <w:t>Minimalni - početni iznos koncesione naknade za eksploataciju</w:t>
      </w:r>
      <w:bookmarkEnd w:id="24"/>
    </w:p>
    <w:p w:rsidR="00D620F2" w:rsidRPr="00AE5C99" w:rsidRDefault="00D620F2" w:rsidP="00AE5C99">
      <w:pPr>
        <w:spacing w:after="0" w:line="240" w:lineRule="auto"/>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Minimalna koncesiona naknada za eksploataciju (čl. 3 Uredbe) određuje se na osnovu sljedećih kriterijuma:</w:t>
      </w: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rezervi mineralne sirovine koja je predmet koncesije;</w:t>
      </w: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pripadnosti grupi ležišta;</w:t>
      </w: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kvaliteta mineralne sirovine; i</w:t>
      </w: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tržišne cijene mineralne sirovine.</w:t>
      </w:r>
    </w:p>
    <w:p w:rsidR="00D620F2" w:rsidRPr="00AE5C99" w:rsidRDefault="00D620F2" w:rsidP="00AE5C99">
      <w:pPr>
        <w:spacing w:after="0" w:line="240" w:lineRule="auto"/>
        <w:jc w:val="both"/>
        <w:rPr>
          <w:rFonts w:ascii="Arial" w:hAnsi="Arial" w:cs="Arial"/>
          <w:noProof/>
          <w:lang w:val="sr-Latn-CS"/>
        </w:rPr>
      </w:pPr>
    </w:p>
    <w:p w:rsidR="00D620F2" w:rsidRPr="00AE5C99" w:rsidRDefault="00E21B44" w:rsidP="00AE5C99">
      <w:pPr>
        <w:pStyle w:val="Heading3"/>
        <w:numPr>
          <w:ilvl w:val="2"/>
          <w:numId w:val="0"/>
        </w:numPr>
        <w:suppressAutoHyphens/>
        <w:ind w:left="720" w:hanging="720"/>
        <w:jc w:val="left"/>
        <w:rPr>
          <w:rFonts w:ascii="Arial" w:hAnsi="Arial" w:cs="Arial"/>
          <w:i/>
          <w:noProof/>
          <w:sz w:val="22"/>
          <w:szCs w:val="22"/>
          <w:lang w:val="sr-Latn-CS"/>
        </w:rPr>
      </w:pPr>
      <w:bookmarkStart w:id="25" w:name="_Toc402262955"/>
      <w:r w:rsidRPr="00AE5C99">
        <w:rPr>
          <w:rFonts w:ascii="Arial" w:hAnsi="Arial" w:cs="Arial"/>
          <w:i/>
          <w:noProof/>
          <w:sz w:val="22"/>
          <w:szCs w:val="22"/>
          <w:lang w:val="sr-Latn-CS"/>
        </w:rPr>
        <w:lastRenderedPageBreak/>
        <w:t>8</w:t>
      </w:r>
      <w:r w:rsidR="0056714D" w:rsidRPr="00AE5C99">
        <w:rPr>
          <w:rFonts w:ascii="Arial" w:hAnsi="Arial" w:cs="Arial"/>
          <w:i/>
          <w:noProof/>
          <w:sz w:val="22"/>
          <w:szCs w:val="22"/>
          <w:lang w:val="sr-Latn-CS"/>
        </w:rPr>
        <w:t xml:space="preserve">.1.1. </w:t>
      </w:r>
      <w:r w:rsidR="00D620F2" w:rsidRPr="00AE5C99">
        <w:rPr>
          <w:rFonts w:ascii="Arial" w:hAnsi="Arial" w:cs="Arial"/>
          <w:i/>
          <w:noProof/>
          <w:sz w:val="22"/>
          <w:szCs w:val="22"/>
          <w:lang w:val="sr-Latn-CS"/>
        </w:rPr>
        <w:t>Rezerve mineralne sirovine</w:t>
      </w:r>
      <w:bookmarkEnd w:id="25"/>
    </w:p>
    <w:p w:rsidR="00D620F2" w:rsidRPr="00AE5C99" w:rsidRDefault="00D620F2" w:rsidP="00AE5C99">
      <w:pPr>
        <w:spacing w:after="0" w:line="240" w:lineRule="auto"/>
        <w:rPr>
          <w:rFonts w:ascii="Arial" w:hAnsi="Arial" w:cs="Arial"/>
          <w:noProof/>
          <w:lang w:val="sr-Latn-CS"/>
        </w:rPr>
      </w:pPr>
    </w:p>
    <w:p w:rsidR="00D620F2" w:rsidRPr="00AE5C99" w:rsidRDefault="00D26056" w:rsidP="00AE5C99">
      <w:pPr>
        <w:spacing w:after="0" w:line="240" w:lineRule="auto"/>
        <w:jc w:val="both"/>
        <w:rPr>
          <w:rFonts w:ascii="Arial" w:hAnsi="Arial" w:cs="Arial"/>
          <w:noProof/>
          <w:lang w:val="sr-Latn-CS"/>
        </w:rPr>
      </w:pPr>
      <w:r w:rsidRPr="00AE5C99">
        <w:rPr>
          <w:rFonts w:ascii="Arial" w:hAnsi="Arial" w:cs="Arial"/>
          <w:noProof/>
          <w:lang w:val="sr-Latn-CS"/>
        </w:rPr>
        <w:t>Bilansne</w:t>
      </w:r>
      <w:r w:rsidR="00D620F2" w:rsidRPr="00AE5C99">
        <w:rPr>
          <w:rFonts w:ascii="Arial" w:hAnsi="Arial" w:cs="Arial"/>
          <w:noProof/>
          <w:lang w:val="sr-Latn-CS"/>
        </w:rPr>
        <w:t xml:space="preserve"> rezerve tehničko-građevinskog kamena na </w:t>
      </w:r>
      <w:r w:rsidRPr="00AE5C99">
        <w:rPr>
          <w:rFonts w:ascii="Arial" w:hAnsi="Arial" w:cs="Arial"/>
          <w:noProof/>
          <w:lang w:val="sr-Latn-CS"/>
        </w:rPr>
        <w:t>ležištu</w:t>
      </w:r>
      <w:r w:rsidR="004742BA" w:rsidRPr="00AE5C99">
        <w:rPr>
          <w:rFonts w:ascii="Arial" w:hAnsi="Arial" w:cs="Arial"/>
          <w:noProof/>
          <w:lang w:val="sr-Latn-CS"/>
        </w:rPr>
        <w:t xml:space="preserve"> </w:t>
      </w:r>
      <w:r w:rsidR="00B01C05" w:rsidRPr="00AE5C99">
        <w:rPr>
          <w:rFonts w:ascii="Arial" w:hAnsi="Arial" w:cs="Arial"/>
          <w:noProof/>
          <w:lang w:val="sr-Latn-CS"/>
        </w:rPr>
        <w:t>„</w:t>
      </w:r>
      <w:r w:rsidR="001D297B" w:rsidRPr="00AE5C99">
        <w:rPr>
          <w:rFonts w:ascii="Arial" w:hAnsi="Arial" w:cs="Arial"/>
          <w:noProof/>
          <w:lang w:val="sr-Latn-CS"/>
        </w:rPr>
        <w:t>Velji Zabio”</w:t>
      </w:r>
      <w:r w:rsidR="001966E1" w:rsidRPr="00AE5C99">
        <w:rPr>
          <w:rFonts w:ascii="Arial" w:hAnsi="Arial" w:cs="Arial"/>
          <w:noProof/>
          <w:lang w:val="sr-Latn-CS"/>
        </w:rPr>
        <w:t xml:space="preserve"> </w:t>
      </w:r>
      <w:r w:rsidR="00D620F2" w:rsidRPr="00AE5C99">
        <w:rPr>
          <w:rFonts w:ascii="Arial" w:hAnsi="Arial" w:cs="Arial"/>
          <w:noProof/>
          <w:lang w:val="sr-Latn-CS"/>
        </w:rPr>
        <w:t>iznose</w:t>
      </w:r>
      <w:r w:rsidR="006B0693" w:rsidRPr="00AE5C99">
        <w:rPr>
          <w:rFonts w:ascii="Arial" w:hAnsi="Arial" w:cs="Arial"/>
          <w:noProof/>
          <w:lang w:val="sr-Latn-CS"/>
        </w:rPr>
        <w:t xml:space="preserve"> </w:t>
      </w:r>
      <w:r w:rsidRPr="00AE5C99">
        <w:rPr>
          <w:rFonts w:ascii="Arial" w:hAnsi="Arial" w:cs="Arial"/>
          <w:noProof/>
          <w:lang w:val="sr-Latn-CS"/>
        </w:rPr>
        <w:t xml:space="preserve">7.415.500 </w:t>
      </w:r>
      <w:r w:rsidR="00D620F2" w:rsidRPr="00AE5C99">
        <w:rPr>
          <w:rFonts w:ascii="Arial" w:hAnsi="Arial" w:cs="Arial"/>
          <w:noProof/>
          <w:lang w:val="sr-Latn-CS"/>
        </w:rPr>
        <w:t>m</w:t>
      </w:r>
      <w:r w:rsidR="00D620F2" w:rsidRPr="00AE5C99">
        <w:rPr>
          <w:rFonts w:ascii="Arial" w:hAnsi="Arial" w:cs="Arial"/>
          <w:noProof/>
          <w:vertAlign w:val="superscript"/>
          <w:lang w:val="sr-Latn-CS"/>
        </w:rPr>
        <w:t>3</w:t>
      </w:r>
      <w:r w:rsidR="00D620F2" w:rsidRPr="00AE5C99">
        <w:rPr>
          <w:rFonts w:ascii="Arial" w:hAnsi="Arial" w:cs="Arial"/>
          <w:noProof/>
          <w:lang w:val="sr-Latn-CS"/>
        </w:rPr>
        <w:t xml:space="preserve"> č.s.m.</w:t>
      </w:r>
    </w:p>
    <w:p w:rsidR="0056714D" w:rsidRPr="00AE5C99" w:rsidRDefault="0056714D"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b/>
          <w:noProof/>
          <w:lang w:val="sr-Latn-CS"/>
        </w:rPr>
      </w:pPr>
      <w:r w:rsidRPr="00AE5C99">
        <w:rPr>
          <w:rFonts w:ascii="Arial" w:hAnsi="Arial" w:cs="Arial"/>
          <w:b/>
          <w:noProof/>
          <w:lang w:val="sr-Latn-CS"/>
        </w:rPr>
        <w:t>Prema minimalnom godišnjem kapacitetu od 20.000 m</w:t>
      </w:r>
      <w:r w:rsidRPr="00AE5C99">
        <w:rPr>
          <w:rFonts w:ascii="Arial" w:hAnsi="Arial" w:cs="Arial"/>
          <w:b/>
          <w:noProof/>
          <w:vertAlign w:val="superscript"/>
          <w:lang w:val="sr-Latn-CS"/>
        </w:rPr>
        <w:t>3</w:t>
      </w:r>
      <w:r w:rsidRPr="00AE5C99">
        <w:rPr>
          <w:rFonts w:ascii="Arial" w:hAnsi="Arial" w:cs="Arial"/>
          <w:b/>
          <w:noProof/>
          <w:lang w:val="sr-Latn-CS"/>
        </w:rPr>
        <w:t xml:space="preserve"> č.s.m. tehničko-građevinskog kamena, za</w:t>
      </w:r>
      <w:r w:rsidR="00F10DEF" w:rsidRPr="00AE5C99">
        <w:rPr>
          <w:rFonts w:ascii="Arial" w:hAnsi="Arial" w:cs="Arial"/>
          <w:b/>
          <w:noProof/>
          <w:lang w:val="sr-Latn-CS"/>
        </w:rPr>
        <w:t xml:space="preserve"> period od </w:t>
      </w:r>
      <w:r w:rsidR="00B01C05" w:rsidRPr="00AE5C99">
        <w:rPr>
          <w:rFonts w:ascii="Arial" w:hAnsi="Arial" w:cs="Arial"/>
          <w:b/>
          <w:noProof/>
          <w:lang w:val="sr-Latn-CS"/>
        </w:rPr>
        <w:t>29</w:t>
      </w:r>
      <w:r w:rsidRPr="00AE5C99">
        <w:rPr>
          <w:rFonts w:ascii="Arial" w:hAnsi="Arial" w:cs="Arial"/>
          <w:b/>
          <w:noProof/>
          <w:lang w:val="sr-Latn-CS"/>
        </w:rPr>
        <w:t xml:space="preserve"> godin</w:t>
      </w:r>
      <w:r w:rsidR="00FE7B21" w:rsidRPr="00AE5C99">
        <w:rPr>
          <w:rFonts w:ascii="Arial" w:hAnsi="Arial" w:cs="Arial"/>
          <w:b/>
          <w:noProof/>
          <w:lang w:val="sr-Latn-CS"/>
        </w:rPr>
        <w:t>a</w:t>
      </w:r>
      <w:r w:rsidRPr="00AE5C99">
        <w:rPr>
          <w:rFonts w:ascii="Arial" w:hAnsi="Arial" w:cs="Arial"/>
          <w:b/>
          <w:noProof/>
          <w:lang w:val="sr-Latn-CS"/>
        </w:rPr>
        <w:t xml:space="preserve"> (period koncesije za eksploataciju) </w:t>
      </w:r>
      <w:r w:rsidR="00F10DEF" w:rsidRPr="00AE5C99">
        <w:rPr>
          <w:rFonts w:ascii="Arial" w:hAnsi="Arial" w:cs="Arial"/>
          <w:b/>
          <w:noProof/>
          <w:lang w:val="sr-Latn-CS"/>
        </w:rPr>
        <w:t xml:space="preserve">otkopalo bi se </w:t>
      </w:r>
      <w:r w:rsidR="00B01C05" w:rsidRPr="00AE5C99">
        <w:rPr>
          <w:rFonts w:ascii="Arial" w:hAnsi="Arial" w:cs="Arial"/>
          <w:b/>
          <w:noProof/>
          <w:lang w:val="sr-Latn-CS"/>
        </w:rPr>
        <w:t>58</w:t>
      </w:r>
      <w:r w:rsidR="000B1014" w:rsidRPr="00AE5C99">
        <w:rPr>
          <w:rFonts w:ascii="Arial" w:hAnsi="Arial" w:cs="Arial"/>
          <w:b/>
          <w:noProof/>
          <w:lang w:val="sr-Latn-CS"/>
        </w:rPr>
        <w:t>0</w:t>
      </w:r>
      <w:r w:rsidR="00472C68" w:rsidRPr="00AE5C99">
        <w:rPr>
          <w:rFonts w:ascii="Arial" w:hAnsi="Arial" w:cs="Arial"/>
          <w:b/>
          <w:noProof/>
          <w:lang w:val="sr-Latn-CS"/>
        </w:rPr>
        <w:t>.</w:t>
      </w:r>
      <w:r w:rsidRPr="00AE5C99">
        <w:rPr>
          <w:rFonts w:ascii="Arial" w:hAnsi="Arial" w:cs="Arial"/>
          <w:b/>
          <w:noProof/>
          <w:lang w:val="sr-Latn-CS"/>
        </w:rPr>
        <w:t>000 m</w:t>
      </w:r>
      <w:r w:rsidRPr="00AE5C99">
        <w:rPr>
          <w:rFonts w:ascii="Arial" w:hAnsi="Arial" w:cs="Arial"/>
          <w:b/>
          <w:noProof/>
          <w:vertAlign w:val="superscript"/>
          <w:lang w:val="sr-Latn-CS"/>
        </w:rPr>
        <w:t>3</w:t>
      </w:r>
      <w:r w:rsidRPr="00AE5C99">
        <w:rPr>
          <w:rFonts w:ascii="Arial" w:hAnsi="Arial" w:cs="Arial"/>
          <w:b/>
          <w:noProof/>
          <w:lang w:val="sr-Latn-CS"/>
        </w:rPr>
        <w:t xml:space="preserve"> č.s.m tehničko-građevinskog kamena. Od 20.000 m</w:t>
      </w:r>
      <w:r w:rsidRPr="00AE5C99">
        <w:rPr>
          <w:rFonts w:ascii="Arial" w:hAnsi="Arial" w:cs="Arial"/>
          <w:b/>
          <w:noProof/>
          <w:vertAlign w:val="superscript"/>
          <w:lang w:val="sr-Latn-CS"/>
        </w:rPr>
        <w:t>3</w:t>
      </w:r>
      <w:r w:rsidRPr="00AE5C99">
        <w:rPr>
          <w:rFonts w:ascii="Arial" w:hAnsi="Arial" w:cs="Arial"/>
          <w:b/>
          <w:noProof/>
          <w:lang w:val="sr-Latn-CS"/>
        </w:rPr>
        <w:t xml:space="preserve"> č.s.m. na godišnjem nivou u procesu dalje obrade sirovine dobilo bi se 30.000 m</w:t>
      </w:r>
      <w:r w:rsidRPr="00AE5C99">
        <w:rPr>
          <w:rFonts w:ascii="Arial" w:hAnsi="Arial" w:cs="Arial"/>
          <w:b/>
          <w:noProof/>
          <w:vertAlign w:val="superscript"/>
          <w:lang w:val="sr-Latn-CS"/>
        </w:rPr>
        <w:t>3</w:t>
      </w:r>
      <w:r w:rsidRPr="00AE5C99">
        <w:rPr>
          <w:rFonts w:ascii="Arial" w:hAnsi="Arial" w:cs="Arial"/>
          <w:b/>
          <w:noProof/>
          <w:lang w:val="sr-Latn-CS"/>
        </w:rPr>
        <w:t xml:space="preserve"> agregata različitih frakcija (kr,=1,5) što bi za period </w:t>
      </w:r>
      <w:r w:rsidR="00F10DEF" w:rsidRPr="00AE5C99">
        <w:rPr>
          <w:rFonts w:ascii="Arial" w:hAnsi="Arial" w:cs="Arial"/>
          <w:b/>
          <w:noProof/>
          <w:lang w:val="sr-Latn-CS"/>
        </w:rPr>
        <w:t xml:space="preserve">od </w:t>
      </w:r>
      <w:r w:rsidR="00B01C05" w:rsidRPr="00AE5C99">
        <w:rPr>
          <w:rFonts w:ascii="Arial" w:hAnsi="Arial" w:cs="Arial"/>
          <w:b/>
          <w:noProof/>
          <w:lang w:val="sr-Latn-CS"/>
        </w:rPr>
        <w:t>29</w:t>
      </w:r>
      <w:r w:rsidR="00067923" w:rsidRPr="00AE5C99">
        <w:rPr>
          <w:rFonts w:ascii="Arial" w:hAnsi="Arial" w:cs="Arial"/>
          <w:b/>
          <w:noProof/>
          <w:lang w:val="sr-Latn-CS"/>
        </w:rPr>
        <w:t xml:space="preserve"> </w:t>
      </w:r>
      <w:r w:rsidRPr="00AE5C99">
        <w:rPr>
          <w:rFonts w:ascii="Arial" w:hAnsi="Arial" w:cs="Arial"/>
          <w:b/>
          <w:noProof/>
          <w:lang w:val="sr-Latn-CS"/>
        </w:rPr>
        <w:t>godin</w:t>
      </w:r>
      <w:r w:rsidR="00FE7B21" w:rsidRPr="00AE5C99">
        <w:rPr>
          <w:rFonts w:ascii="Arial" w:hAnsi="Arial" w:cs="Arial"/>
          <w:b/>
          <w:noProof/>
          <w:lang w:val="sr-Latn-CS"/>
        </w:rPr>
        <w:t>a</w:t>
      </w:r>
      <w:r w:rsidRPr="00AE5C99">
        <w:rPr>
          <w:rFonts w:ascii="Arial" w:hAnsi="Arial" w:cs="Arial"/>
          <w:b/>
          <w:noProof/>
          <w:lang w:val="sr-Latn-CS"/>
        </w:rPr>
        <w:t xml:space="preserve"> iznosilo </w:t>
      </w:r>
      <w:r w:rsidR="00B01C05" w:rsidRPr="00AE5C99">
        <w:rPr>
          <w:rFonts w:ascii="Arial" w:hAnsi="Arial" w:cs="Arial"/>
          <w:b/>
          <w:noProof/>
          <w:lang w:val="sr-Latn-CS"/>
        </w:rPr>
        <w:t>87</w:t>
      </w:r>
      <w:r w:rsidR="000B1014" w:rsidRPr="00AE5C99">
        <w:rPr>
          <w:rFonts w:ascii="Arial" w:hAnsi="Arial" w:cs="Arial"/>
          <w:b/>
          <w:noProof/>
          <w:lang w:val="sr-Latn-CS"/>
        </w:rPr>
        <w:t>0</w:t>
      </w:r>
      <w:r w:rsidRPr="00AE5C99">
        <w:rPr>
          <w:rFonts w:ascii="Arial" w:hAnsi="Arial" w:cs="Arial"/>
          <w:b/>
          <w:noProof/>
          <w:lang w:val="sr-Latn-CS"/>
        </w:rPr>
        <w:t>.000 m</w:t>
      </w:r>
      <w:r w:rsidRPr="00AE5C99">
        <w:rPr>
          <w:rFonts w:ascii="Arial" w:hAnsi="Arial" w:cs="Arial"/>
          <w:b/>
          <w:noProof/>
          <w:vertAlign w:val="superscript"/>
          <w:lang w:val="sr-Latn-CS"/>
        </w:rPr>
        <w:t>3</w:t>
      </w:r>
      <w:r w:rsidRPr="00AE5C99">
        <w:rPr>
          <w:rFonts w:ascii="Arial" w:hAnsi="Arial" w:cs="Arial"/>
          <w:b/>
          <w:noProof/>
          <w:lang w:val="sr-Latn-CS"/>
        </w:rPr>
        <w:t xml:space="preserve"> tržišnog proizvoda.</w:t>
      </w:r>
    </w:p>
    <w:p w:rsidR="00D620F2" w:rsidRPr="00AE5C99" w:rsidRDefault="00D620F2" w:rsidP="00AE5C99">
      <w:pPr>
        <w:spacing w:after="0" w:line="240" w:lineRule="auto"/>
        <w:jc w:val="both"/>
        <w:rPr>
          <w:rFonts w:ascii="Arial" w:hAnsi="Arial" w:cs="Arial"/>
          <w:noProof/>
          <w:lang w:val="sr-Latn-CS"/>
        </w:rPr>
      </w:pPr>
    </w:p>
    <w:p w:rsidR="00D620F2" w:rsidRPr="00AE5C99" w:rsidRDefault="00E21B44" w:rsidP="00AE5C99">
      <w:pPr>
        <w:pStyle w:val="Heading3"/>
        <w:numPr>
          <w:ilvl w:val="2"/>
          <w:numId w:val="0"/>
        </w:numPr>
        <w:suppressAutoHyphens/>
        <w:ind w:left="720" w:hanging="720"/>
        <w:jc w:val="left"/>
        <w:rPr>
          <w:rFonts w:ascii="Arial" w:hAnsi="Arial" w:cs="Arial"/>
          <w:i/>
          <w:noProof/>
          <w:sz w:val="22"/>
          <w:szCs w:val="22"/>
          <w:lang w:val="sr-Latn-CS"/>
        </w:rPr>
      </w:pPr>
      <w:bookmarkStart w:id="26" w:name="_Toc402262956"/>
      <w:r w:rsidRPr="00AE5C99">
        <w:rPr>
          <w:rFonts w:ascii="Arial" w:hAnsi="Arial" w:cs="Arial"/>
          <w:i/>
          <w:noProof/>
          <w:sz w:val="22"/>
          <w:szCs w:val="22"/>
          <w:lang w:val="sr-Latn-CS"/>
        </w:rPr>
        <w:t>8</w:t>
      </w:r>
      <w:r w:rsidR="00D620F2" w:rsidRPr="00AE5C99">
        <w:rPr>
          <w:rFonts w:ascii="Arial" w:hAnsi="Arial" w:cs="Arial"/>
          <w:i/>
          <w:noProof/>
          <w:sz w:val="22"/>
          <w:szCs w:val="22"/>
          <w:lang w:val="sr-Latn-CS"/>
        </w:rPr>
        <w:t>.1.2</w:t>
      </w:r>
      <w:r w:rsidR="0056714D" w:rsidRPr="00AE5C99">
        <w:rPr>
          <w:rFonts w:ascii="Arial" w:hAnsi="Arial" w:cs="Arial"/>
          <w:i/>
          <w:noProof/>
          <w:sz w:val="22"/>
          <w:szCs w:val="22"/>
          <w:lang w:val="sr-Latn-CS"/>
        </w:rPr>
        <w:t>.</w:t>
      </w:r>
      <w:r w:rsidR="00D620F2" w:rsidRPr="00AE5C99">
        <w:rPr>
          <w:rFonts w:ascii="Arial" w:hAnsi="Arial" w:cs="Arial"/>
          <w:i/>
          <w:noProof/>
          <w:sz w:val="22"/>
          <w:szCs w:val="22"/>
          <w:lang w:val="sr-Latn-CS"/>
        </w:rPr>
        <w:t xml:space="preserve"> Pripadnost grupi ležišta</w:t>
      </w:r>
      <w:bookmarkEnd w:id="26"/>
    </w:p>
    <w:p w:rsidR="00D021C0" w:rsidRPr="00AE5C99" w:rsidRDefault="00D021C0" w:rsidP="00AE5C99">
      <w:pPr>
        <w:spacing w:after="0" w:line="240" w:lineRule="auto"/>
        <w:rPr>
          <w:rFonts w:ascii="Arial" w:hAnsi="Arial" w:cs="Arial"/>
          <w:noProof/>
          <w:lang w:val="sr-Latn-CS"/>
        </w:rPr>
      </w:pPr>
    </w:p>
    <w:p w:rsidR="006E4E99"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Istražno-eksploatacioni prostor tehničko-</w:t>
      </w:r>
      <w:r w:rsidR="00E842BF" w:rsidRPr="00AE5C99">
        <w:rPr>
          <w:rFonts w:ascii="Arial" w:hAnsi="Arial" w:cs="Arial"/>
          <w:noProof/>
          <w:lang w:val="sr-Latn-CS"/>
        </w:rPr>
        <w:t>građevins</w:t>
      </w:r>
      <w:r w:rsidR="00F10DEF" w:rsidRPr="00AE5C99">
        <w:rPr>
          <w:rFonts w:ascii="Arial" w:hAnsi="Arial" w:cs="Arial"/>
          <w:noProof/>
          <w:lang w:val="sr-Latn-CS"/>
        </w:rPr>
        <w:t xml:space="preserve">kog kamena </w:t>
      </w:r>
      <w:r w:rsidR="00B01C05" w:rsidRPr="00AE5C99">
        <w:rPr>
          <w:rFonts w:ascii="Arial" w:hAnsi="Arial" w:cs="Arial"/>
          <w:noProof/>
          <w:lang w:val="sr-Latn-CS"/>
        </w:rPr>
        <w:t>„</w:t>
      </w:r>
      <w:r w:rsidR="001D297B" w:rsidRPr="00AE5C99">
        <w:rPr>
          <w:rFonts w:ascii="Arial" w:hAnsi="Arial" w:cs="Arial"/>
          <w:noProof/>
          <w:lang w:val="sr-Latn-CS"/>
        </w:rPr>
        <w:t>Velji Zabio”</w:t>
      </w:r>
      <w:r w:rsidRPr="00AE5C99">
        <w:rPr>
          <w:rFonts w:ascii="Arial" w:hAnsi="Arial" w:cs="Arial"/>
          <w:noProof/>
          <w:lang w:val="sr-Latn-CS"/>
        </w:rPr>
        <w:t>, prema navedenoj Uredbi, a na osnovu postojećih karakteristika i očekivanih uslova za eksploataciju, svrstana je u treću grupu geogenih ležišta (G</w:t>
      </w:r>
      <w:r w:rsidRPr="00AE5C99">
        <w:rPr>
          <w:rFonts w:ascii="Arial" w:hAnsi="Arial" w:cs="Arial"/>
          <w:noProof/>
          <w:vertAlign w:val="subscript"/>
          <w:lang w:val="sr-Latn-CS"/>
        </w:rPr>
        <w:t>3</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F10DEF"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Po tom osnovu procentni iznos za obračun minimalne - početne koncesione naknade (čl. 15 Uredbe) iznosi 7%</w:t>
      </w:r>
      <w:r w:rsidR="00815ABC" w:rsidRPr="00AE5C99">
        <w:rPr>
          <w:rFonts w:ascii="Arial" w:hAnsi="Arial" w:cs="Arial"/>
          <w:noProof/>
          <w:lang w:val="sr-Latn-CS"/>
        </w:rPr>
        <w:t xml:space="preserve"> </w:t>
      </w:r>
      <w:r w:rsidRPr="00AE5C99">
        <w:rPr>
          <w:rFonts w:ascii="Arial" w:hAnsi="Arial" w:cs="Arial"/>
          <w:noProof/>
          <w:lang w:val="sr-Latn-CS"/>
        </w:rPr>
        <w:t>od tržišne vrijednosti eksploatacionih rezervi tehničko-građevinskog kamena, za koncesioni period</w:t>
      </w:r>
      <w:r w:rsidR="00F10DEF" w:rsidRPr="00AE5C99">
        <w:rPr>
          <w:rFonts w:ascii="Arial" w:hAnsi="Arial" w:cs="Arial"/>
          <w:noProof/>
          <w:lang w:val="sr-Latn-CS"/>
        </w:rPr>
        <w:t xml:space="preserve"> za eksploataciju od </w:t>
      </w:r>
      <w:r w:rsidR="00B01C05" w:rsidRPr="00AE5C99">
        <w:rPr>
          <w:rFonts w:ascii="Arial" w:hAnsi="Arial" w:cs="Arial"/>
          <w:noProof/>
          <w:lang w:val="sr-Latn-CS"/>
        </w:rPr>
        <w:t>29</w:t>
      </w:r>
      <w:r w:rsidRPr="00AE5C99">
        <w:rPr>
          <w:rFonts w:ascii="Arial" w:hAnsi="Arial" w:cs="Arial"/>
          <w:noProof/>
          <w:lang w:val="sr-Latn-CS"/>
        </w:rPr>
        <w:t xml:space="preserve"> godin</w:t>
      </w:r>
      <w:r w:rsidR="000B1014" w:rsidRPr="00AE5C99">
        <w:rPr>
          <w:rFonts w:ascii="Arial" w:hAnsi="Arial" w:cs="Arial"/>
          <w:noProof/>
          <w:lang w:val="sr-Latn-CS"/>
        </w:rPr>
        <w:t>a</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D620F2" w:rsidRPr="00AE5C99" w:rsidRDefault="00E21B44" w:rsidP="00AE5C99">
      <w:pPr>
        <w:spacing w:after="0" w:line="240" w:lineRule="auto"/>
        <w:jc w:val="both"/>
        <w:rPr>
          <w:rFonts w:ascii="Arial" w:hAnsi="Arial" w:cs="Arial"/>
          <w:i/>
          <w:noProof/>
          <w:lang w:val="sr-Latn-CS"/>
        </w:rPr>
      </w:pPr>
      <w:bookmarkStart w:id="27" w:name="_Toc402262957"/>
      <w:r w:rsidRPr="00AE5C99">
        <w:rPr>
          <w:rFonts w:ascii="Arial" w:hAnsi="Arial" w:cs="Arial"/>
          <w:i/>
          <w:noProof/>
          <w:lang w:val="sr-Latn-CS"/>
        </w:rPr>
        <w:t>8</w:t>
      </w:r>
      <w:r w:rsidR="00306531" w:rsidRPr="00AE5C99">
        <w:rPr>
          <w:rFonts w:ascii="Arial" w:hAnsi="Arial" w:cs="Arial"/>
          <w:i/>
          <w:noProof/>
          <w:lang w:val="sr-Latn-CS"/>
        </w:rPr>
        <w:t xml:space="preserve">.1.3. </w:t>
      </w:r>
      <w:r w:rsidR="00D620F2" w:rsidRPr="00AE5C99">
        <w:rPr>
          <w:rFonts w:ascii="Arial" w:hAnsi="Arial" w:cs="Arial"/>
          <w:i/>
          <w:noProof/>
          <w:lang w:val="sr-Latn-CS"/>
        </w:rPr>
        <w:t>Kvalitet mineralne sirovine</w:t>
      </w:r>
      <w:bookmarkEnd w:id="27"/>
    </w:p>
    <w:p w:rsidR="00D021C0" w:rsidRPr="00AE5C99" w:rsidRDefault="00D021C0" w:rsidP="00AE5C99">
      <w:pPr>
        <w:spacing w:after="0" w:line="240" w:lineRule="auto"/>
        <w:jc w:val="both"/>
        <w:rPr>
          <w:rFonts w:ascii="Arial" w:hAnsi="Arial" w:cs="Arial"/>
          <w:i/>
          <w:noProof/>
          <w:lang w:val="sr-Latn-CS"/>
        </w:rPr>
      </w:pPr>
    </w:p>
    <w:p w:rsidR="00D26056" w:rsidRPr="00AE5C99" w:rsidRDefault="00D26056" w:rsidP="00AE5C99">
      <w:pPr>
        <w:pStyle w:val="BodyText"/>
        <w:spacing w:after="0" w:line="240" w:lineRule="auto"/>
        <w:jc w:val="both"/>
        <w:rPr>
          <w:rFonts w:ascii="Arial" w:hAnsi="Arial" w:cs="Arial"/>
          <w:noProof/>
          <w:lang w:val="sr-Latn-CS"/>
        </w:rPr>
      </w:pPr>
      <w:r w:rsidRPr="00AE5C99">
        <w:rPr>
          <w:rFonts w:ascii="Arial" w:hAnsi="Arial" w:cs="Arial"/>
          <w:noProof/>
          <w:lang w:val="sr-Latn-CS"/>
        </w:rPr>
        <w:t xml:space="preserve">Prema rezultatima laboratorijskih ispitivanja, koja se odnose na mineraloško-petrografski i hemijski sastav i fizičko-mehaničke osobine stijenske mase, proizilazi da kvalitet </w:t>
      </w:r>
      <w:r w:rsidR="00B01C05" w:rsidRPr="00AE5C99">
        <w:rPr>
          <w:rFonts w:ascii="Arial" w:hAnsi="Arial" w:cs="Arial"/>
          <w:noProof/>
          <w:lang w:val="sr-Latn-CS"/>
        </w:rPr>
        <w:t>karbonatnih sedimenata ležišta „</w:t>
      </w:r>
      <w:r w:rsidRPr="00AE5C99">
        <w:rPr>
          <w:rFonts w:ascii="Arial" w:hAnsi="Arial" w:cs="Arial"/>
          <w:noProof/>
          <w:lang w:val="sr-Latn-CS"/>
        </w:rPr>
        <w:t>Velji Zabio” kod Bara zadovoljava sve kriterijume važećih domaćih standarda (JUS) u pogledu primjene u tehničko-građevinske svrhe.</w:t>
      </w:r>
    </w:p>
    <w:p w:rsidR="00732534" w:rsidRPr="00AE5C99" w:rsidRDefault="00732534" w:rsidP="00AE5C99">
      <w:pPr>
        <w:spacing w:after="0" w:line="240" w:lineRule="auto"/>
        <w:jc w:val="both"/>
        <w:rPr>
          <w:rFonts w:ascii="Arial" w:hAnsi="Arial" w:cs="Arial"/>
          <w:noProof/>
          <w:lang w:val="sr-Latn-CS"/>
        </w:rPr>
      </w:pPr>
    </w:p>
    <w:p w:rsidR="00D26056" w:rsidRPr="00AE5C99" w:rsidRDefault="00D26056" w:rsidP="00AE5C99">
      <w:pPr>
        <w:spacing w:line="240" w:lineRule="auto"/>
        <w:jc w:val="both"/>
        <w:rPr>
          <w:rFonts w:ascii="Arial" w:hAnsi="Arial" w:cs="Arial"/>
          <w:noProof/>
          <w:lang w:val="sr-Latn-CS"/>
        </w:rPr>
      </w:pPr>
      <w:r w:rsidRPr="00AE5C99">
        <w:rPr>
          <w:rFonts w:ascii="Arial" w:hAnsi="Arial" w:cs="Arial"/>
          <w:noProof/>
          <w:lang w:val="sr-Latn-CS"/>
        </w:rPr>
        <w:t>Na osnovu dobijenih rezultata, a saglasno utvrđenim svojstvima i odredbama odgovarajućih standarda, tehn</w:t>
      </w:r>
      <w:r w:rsidR="00B01C05" w:rsidRPr="00AE5C99">
        <w:rPr>
          <w:rFonts w:ascii="Arial" w:hAnsi="Arial" w:cs="Arial"/>
          <w:noProof/>
          <w:lang w:val="sr-Latn-CS"/>
        </w:rPr>
        <w:t>ičko-građevinski kamen ležišta „</w:t>
      </w:r>
      <w:r w:rsidRPr="00AE5C99">
        <w:rPr>
          <w:rFonts w:ascii="Arial" w:hAnsi="Arial" w:cs="Arial"/>
          <w:noProof/>
          <w:lang w:val="sr-Latn-CS"/>
        </w:rPr>
        <w:t>Velji Zabio” se može upotrijebiti kao tehničko-građevinski kamen za:</w:t>
      </w:r>
    </w:p>
    <w:p w:rsidR="00D26056" w:rsidRPr="00AE5C99" w:rsidRDefault="00D26056"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izradu betona (JUS B.B2.009),</w:t>
      </w:r>
    </w:p>
    <w:p w:rsidR="00D26056" w:rsidRPr="00AE5C99" w:rsidRDefault="00D26056"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izradu habajućih slojeva od asfaltnih betona po vrućem postupku za puteve sa lakim i vrlo lakim saobraćajnim opterećenjem  (JUS U.E4.014),</w:t>
      </w:r>
    </w:p>
    <w:p w:rsidR="00D26056" w:rsidRPr="00AE5C99" w:rsidRDefault="00D26056"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klasične i savremene podloge za puteve (JUS U.E9.020),</w:t>
      </w:r>
    </w:p>
    <w:p w:rsidR="00D26056" w:rsidRPr="00AE5C99" w:rsidRDefault="00D26056"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agregata za gornje i donje noseće slojeve od bituminiziranog materijala po vrućem postupku (JUS U.E9.021 i JUS U.E9.028),</w:t>
      </w:r>
    </w:p>
    <w:p w:rsidR="00D26056" w:rsidRPr="00AE5C99" w:rsidRDefault="00D26056" w:rsidP="00AE5C99">
      <w:pPr>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tucanika kategorije II za zastor željezničkih pruga (Uputstvo za prijem i isporuku tucanika za zastor pruga na JŽ), i</w:t>
      </w:r>
    </w:p>
    <w:p w:rsidR="00D26056" w:rsidRPr="00AE5C99" w:rsidRDefault="00D26056" w:rsidP="00AE5C99">
      <w:pPr>
        <w:pStyle w:val="ListParagraph"/>
        <w:numPr>
          <w:ilvl w:val="0"/>
          <w:numId w:val="24"/>
        </w:numPr>
        <w:spacing w:after="0" w:line="240" w:lineRule="auto"/>
        <w:jc w:val="both"/>
        <w:rPr>
          <w:rFonts w:ascii="Arial" w:hAnsi="Arial" w:cs="Arial"/>
          <w:noProof/>
          <w:lang w:val="sr-Latn-CS"/>
        </w:rPr>
      </w:pPr>
      <w:r w:rsidRPr="00AE5C99">
        <w:rPr>
          <w:rFonts w:ascii="Arial" w:hAnsi="Arial" w:cs="Arial"/>
          <w:noProof/>
          <w:lang w:val="sr-Latn-CS"/>
        </w:rPr>
        <w:t>proizvodnju lomljenog kamena i tesanika za gruba zidanja u niskogradnji i hidrogradnji.</w:t>
      </w:r>
    </w:p>
    <w:p w:rsidR="00163B9D" w:rsidRPr="00AE5C99" w:rsidRDefault="00163B9D" w:rsidP="00AE5C99">
      <w:pPr>
        <w:spacing w:after="0" w:line="240" w:lineRule="auto"/>
        <w:jc w:val="both"/>
        <w:rPr>
          <w:rFonts w:ascii="Arial" w:hAnsi="Arial" w:cs="Arial"/>
          <w:noProof/>
          <w:lang w:val="sr-Latn-CS"/>
        </w:rPr>
      </w:pPr>
    </w:p>
    <w:p w:rsidR="00D620F2" w:rsidRPr="00AE5C99" w:rsidRDefault="00E21B44" w:rsidP="00AE5C99">
      <w:pPr>
        <w:pStyle w:val="Heading3"/>
        <w:numPr>
          <w:ilvl w:val="2"/>
          <w:numId w:val="0"/>
        </w:numPr>
        <w:suppressAutoHyphens/>
        <w:ind w:left="720" w:hanging="720"/>
        <w:jc w:val="left"/>
        <w:rPr>
          <w:rFonts w:ascii="Arial" w:hAnsi="Arial" w:cs="Arial"/>
          <w:i/>
          <w:noProof/>
          <w:sz w:val="22"/>
          <w:szCs w:val="22"/>
          <w:lang w:val="sr-Latn-CS"/>
        </w:rPr>
      </w:pPr>
      <w:bookmarkStart w:id="28" w:name="_Toc402262958"/>
      <w:r w:rsidRPr="00AE5C99">
        <w:rPr>
          <w:rFonts w:ascii="Arial" w:hAnsi="Arial" w:cs="Arial"/>
          <w:i/>
          <w:noProof/>
          <w:sz w:val="22"/>
          <w:szCs w:val="22"/>
          <w:lang w:val="sr-Latn-CS"/>
        </w:rPr>
        <w:t>8</w:t>
      </w:r>
      <w:r w:rsidR="00306531" w:rsidRPr="00AE5C99">
        <w:rPr>
          <w:rFonts w:ascii="Arial" w:hAnsi="Arial" w:cs="Arial"/>
          <w:i/>
          <w:noProof/>
          <w:sz w:val="22"/>
          <w:szCs w:val="22"/>
          <w:lang w:val="sr-Latn-CS"/>
        </w:rPr>
        <w:t xml:space="preserve">.1.4. </w:t>
      </w:r>
      <w:r w:rsidR="00D620F2" w:rsidRPr="00AE5C99">
        <w:rPr>
          <w:rFonts w:ascii="Arial" w:hAnsi="Arial" w:cs="Arial"/>
          <w:i/>
          <w:noProof/>
          <w:sz w:val="22"/>
          <w:szCs w:val="22"/>
          <w:lang w:val="sr-Latn-CS"/>
        </w:rPr>
        <w:t>Tržišna vrijednost rezervi</w:t>
      </w:r>
      <w:bookmarkEnd w:id="28"/>
    </w:p>
    <w:p w:rsidR="00D021C0" w:rsidRPr="00AE5C99" w:rsidRDefault="00D021C0" w:rsidP="00AE5C99">
      <w:pPr>
        <w:spacing w:after="0" w:line="240" w:lineRule="auto"/>
        <w:rPr>
          <w:rFonts w:ascii="Arial" w:hAnsi="Arial" w:cs="Arial"/>
          <w:noProof/>
          <w:lang w:val="sr-Latn-CS"/>
        </w:rPr>
      </w:pPr>
    </w:p>
    <w:p w:rsidR="009B1797" w:rsidRPr="00AE5C99" w:rsidRDefault="009B1797" w:rsidP="00AE5C99">
      <w:pPr>
        <w:spacing w:after="0" w:line="240" w:lineRule="auto"/>
        <w:jc w:val="both"/>
        <w:rPr>
          <w:rFonts w:ascii="Arial" w:hAnsi="Arial" w:cs="Arial"/>
          <w:noProof/>
          <w:lang w:val="sr-Latn-CS"/>
        </w:rPr>
      </w:pPr>
      <w:r w:rsidRPr="00AE5C99">
        <w:rPr>
          <w:rFonts w:ascii="Arial" w:hAnsi="Arial" w:cs="Arial"/>
          <w:noProof/>
          <w:lang w:val="sr-Latn-CS"/>
        </w:rPr>
        <w:t xml:space="preserve">Na osnovu podataka, dostavljenih od </w:t>
      </w:r>
      <w:r w:rsidR="00C32E6C" w:rsidRPr="00AE5C99">
        <w:rPr>
          <w:rFonts w:ascii="Arial" w:hAnsi="Arial" w:cs="Arial"/>
          <w:noProof/>
          <w:lang w:val="sr-Latn-CS"/>
        </w:rPr>
        <w:t>Zavoda</w:t>
      </w:r>
      <w:r w:rsidRPr="00AE5C99">
        <w:rPr>
          <w:rFonts w:ascii="Arial" w:hAnsi="Arial" w:cs="Arial"/>
          <w:noProof/>
          <w:lang w:val="sr-Latn-CS"/>
        </w:rPr>
        <w:t xml:space="preserve"> za statistiku </w:t>
      </w:r>
      <w:r w:rsidR="00506D42" w:rsidRPr="00AE5C99">
        <w:rPr>
          <w:rFonts w:ascii="Arial" w:hAnsi="Arial" w:cs="Arial"/>
          <w:noProof/>
          <w:lang w:val="sr-Latn-CS"/>
        </w:rPr>
        <w:t xml:space="preserve">Crne Gore </w:t>
      </w:r>
      <w:r w:rsidRPr="00AE5C99">
        <w:rPr>
          <w:rFonts w:ascii="Arial" w:hAnsi="Arial" w:cs="Arial"/>
          <w:noProof/>
          <w:lang w:val="sr-Latn-CS"/>
        </w:rPr>
        <w:t>o ostvarenim prodajnim cijenama mineralnih sir</w:t>
      </w:r>
      <w:r w:rsidR="006A4198" w:rsidRPr="00AE5C99">
        <w:rPr>
          <w:rFonts w:ascii="Arial" w:hAnsi="Arial" w:cs="Arial"/>
          <w:noProof/>
          <w:lang w:val="sr-Latn-CS"/>
        </w:rPr>
        <w:t>ovina za period januar-decembar</w:t>
      </w:r>
      <w:r w:rsidRPr="00AE5C99">
        <w:rPr>
          <w:rFonts w:ascii="Arial" w:hAnsi="Arial" w:cs="Arial"/>
          <w:noProof/>
          <w:lang w:val="sr-Latn-CS"/>
        </w:rPr>
        <w:t xml:space="preserve"> 201</w:t>
      </w:r>
      <w:r w:rsidR="00506D42" w:rsidRPr="00AE5C99">
        <w:rPr>
          <w:rFonts w:ascii="Arial" w:hAnsi="Arial" w:cs="Arial"/>
          <w:noProof/>
          <w:lang w:val="sr-Latn-CS"/>
        </w:rPr>
        <w:t>8</w:t>
      </w:r>
      <w:r w:rsidRPr="00AE5C99">
        <w:rPr>
          <w:rFonts w:ascii="Arial" w:hAnsi="Arial" w:cs="Arial"/>
          <w:noProof/>
          <w:lang w:val="sr-Latn-CS"/>
        </w:rPr>
        <w:t>. godine, br. 01-</w:t>
      </w:r>
      <w:r w:rsidR="00506D42" w:rsidRPr="00AE5C99">
        <w:rPr>
          <w:rFonts w:ascii="Arial" w:hAnsi="Arial" w:cs="Arial"/>
          <w:noProof/>
          <w:lang w:val="sr-Latn-CS"/>
        </w:rPr>
        <w:t>639</w:t>
      </w:r>
      <w:r w:rsidRPr="00AE5C99">
        <w:rPr>
          <w:rFonts w:ascii="Arial" w:hAnsi="Arial" w:cs="Arial"/>
          <w:noProof/>
          <w:lang w:val="sr-Latn-CS"/>
        </w:rPr>
        <w:t>/2 od 0</w:t>
      </w:r>
      <w:r w:rsidR="00506D42" w:rsidRPr="00AE5C99">
        <w:rPr>
          <w:rFonts w:ascii="Arial" w:hAnsi="Arial" w:cs="Arial"/>
          <w:noProof/>
          <w:lang w:val="sr-Latn-CS"/>
        </w:rPr>
        <w:t>5</w:t>
      </w:r>
      <w:r w:rsidRPr="00AE5C99">
        <w:rPr>
          <w:rFonts w:ascii="Arial" w:hAnsi="Arial" w:cs="Arial"/>
          <w:noProof/>
          <w:lang w:val="sr-Latn-CS"/>
        </w:rPr>
        <w:t>.03.201</w:t>
      </w:r>
      <w:r w:rsidR="00506D42" w:rsidRPr="00AE5C99">
        <w:rPr>
          <w:rFonts w:ascii="Arial" w:hAnsi="Arial" w:cs="Arial"/>
          <w:noProof/>
          <w:lang w:val="sr-Latn-CS"/>
        </w:rPr>
        <w:t>9</w:t>
      </w:r>
      <w:r w:rsidRPr="00AE5C99">
        <w:rPr>
          <w:rFonts w:ascii="Arial" w:hAnsi="Arial" w:cs="Arial"/>
          <w:noProof/>
          <w:lang w:val="sr-Latn-CS"/>
        </w:rPr>
        <w:t xml:space="preserve">. godine. (zaveden u arhivi Ministarstva ekonomije </w:t>
      </w:r>
      <w:r w:rsidR="00506D42" w:rsidRPr="00AE5C99">
        <w:rPr>
          <w:rFonts w:ascii="Arial" w:hAnsi="Arial" w:cs="Arial"/>
          <w:noProof/>
          <w:lang w:val="sr-Latn-CS"/>
        </w:rPr>
        <w:t>07</w:t>
      </w:r>
      <w:r w:rsidR="00787A0E" w:rsidRPr="00AE5C99">
        <w:rPr>
          <w:rFonts w:ascii="Arial" w:hAnsi="Arial" w:cs="Arial"/>
          <w:noProof/>
          <w:lang w:val="sr-Latn-CS"/>
        </w:rPr>
        <w:t>.</w:t>
      </w:r>
      <w:r w:rsidR="006A4198" w:rsidRPr="00AE5C99">
        <w:rPr>
          <w:rFonts w:ascii="Arial" w:hAnsi="Arial" w:cs="Arial"/>
          <w:noProof/>
          <w:lang w:val="sr-Latn-CS"/>
        </w:rPr>
        <w:t>3.2018.</w:t>
      </w:r>
      <w:r w:rsidRPr="00AE5C99">
        <w:rPr>
          <w:rFonts w:ascii="Arial" w:hAnsi="Arial" w:cs="Arial"/>
          <w:noProof/>
          <w:lang w:val="sr-Latn-CS"/>
        </w:rPr>
        <w:t xml:space="preserve"> godine pod brojem 970-</w:t>
      </w:r>
      <w:r w:rsidR="00506D42" w:rsidRPr="00AE5C99">
        <w:rPr>
          <w:rFonts w:ascii="Arial" w:hAnsi="Arial" w:cs="Arial"/>
          <w:noProof/>
          <w:lang w:val="sr-Latn-CS"/>
        </w:rPr>
        <w:t>42/2019</w:t>
      </w:r>
      <w:r w:rsidR="006A4198" w:rsidRPr="00AE5C99">
        <w:rPr>
          <w:rFonts w:ascii="Arial" w:hAnsi="Arial" w:cs="Arial"/>
          <w:noProof/>
          <w:lang w:val="sr-Latn-CS"/>
        </w:rPr>
        <w:t xml:space="preserve">-2), </w:t>
      </w:r>
      <w:r w:rsidRPr="00AE5C99">
        <w:rPr>
          <w:rFonts w:ascii="Arial" w:hAnsi="Arial" w:cs="Arial"/>
          <w:noProof/>
          <w:lang w:val="sr-Latn-CS"/>
        </w:rPr>
        <w:t>prosječna ostvarena cijena proizvoda mineralne sirovine tehničko-građevinskog kamena u Crnoj Gori u 201</w:t>
      </w:r>
      <w:r w:rsidR="00732534" w:rsidRPr="00AE5C99">
        <w:rPr>
          <w:rFonts w:ascii="Arial" w:hAnsi="Arial" w:cs="Arial"/>
          <w:noProof/>
          <w:lang w:val="sr-Latn-CS"/>
        </w:rPr>
        <w:t>8</w:t>
      </w:r>
      <w:r w:rsidRPr="00AE5C99">
        <w:rPr>
          <w:rFonts w:ascii="Arial" w:hAnsi="Arial" w:cs="Arial"/>
          <w:noProof/>
          <w:lang w:val="sr-Latn-CS"/>
        </w:rPr>
        <w:t xml:space="preserve">. godini (čl. 16 Uredbe) iznosi </w:t>
      </w:r>
      <w:r w:rsidR="00506D42" w:rsidRPr="00AE5C99">
        <w:rPr>
          <w:rFonts w:ascii="Arial" w:hAnsi="Arial" w:cs="Arial"/>
          <w:b/>
          <w:noProof/>
          <w:lang w:val="sr-Latn-CS"/>
        </w:rPr>
        <w:t>16,32</w:t>
      </w:r>
      <w:r w:rsidRPr="00AE5C99">
        <w:rPr>
          <w:rFonts w:ascii="Arial" w:hAnsi="Arial" w:cs="Arial"/>
          <w:b/>
          <w:noProof/>
          <w:lang w:val="sr-Latn-CS"/>
        </w:rPr>
        <w:t xml:space="preserve"> €/m</w:t>
      </w:r>
      <w:r w:rsidRPr="00AE5C99">
        <w:rPr>
          <w:rFonts w:ascii="Arial" w:hAnsi="Arial" w:cs="Arial"/>
          <w:b/>
          <w:noProof/>
          <w:vertAlign w:val="superscript"/>
          <w:lang w:val="sr-Latn-CS"/>
        </w:rPr>
        <w:t xml:space="preserve">3 </w:t>
      </w:r>
      <w:r w:rsidRPr="00AE5C99">
        <w:rPr>
          <w:rFonts w:ascii="Arial" w:hAnsi="Arial" w:cs="Arial"/>
          <w:noProof/>
          <w:lang w:val="sr-Latn-CS"/>
        </w:rPr>
        <w:t xml:space="preserve">r.m. </w:t>
      </w:r>
    </w:p>
    <w:p w:rsidR="00732534" w:rsidRPr="00AE5C99" w:rsidRDefault="00732534"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Na osnovu usvojenih parametara, tržišna vrijednost rezervi tehničko-građevinskog kamena koje se mogu otkopati prema mini</w:t>
      </w:r>
      <w:r w:rsidR="00F10DEF" w:rsidRPr="00AE5C99">
        <w:rPr>
          <w:rFonts w:ascii="Arial" w:hAnsi="Arial" w:cs="Arial"/>
          <w:noProof/>
          <w:lang w:val="sr-Latn-CS"/>
        </w:rPr>
        <w:t xml:space="preserve">malnom godišnjem kapacitetu za </w:t>
      </w:r>
      <w:r w:rsidR="00815ABC" w:rsidRPr="00AE5C99">
        <w:rPr>
          <w:rFonts w:ascii="Arial" w:hAnsi="Arial" w:cs="Arial"/>
          <w:noProof/>
          <w:lang w:val="sr-Latn-CS"/>
        </w:rPr>
        <w:t>2</w:t>
      </w:r>
      <w:r w:rsidR="00B01C05" w:rsidRPr="00AE5C99">
        <w:rPr>
          <w:rFonts w:ascii="Arial" w:hAnsi="Arial" w:cs="Arial"/>
          <w:noProof/>
          <w:lang w:val="sr-Latn-CS"/>
        </w:rPr>
        <w:t>9</w:t>
      </w:r>
      <w:r w:rsidRPr="00AE5C99">
        <w:rPr>
          <w:rFonts w:ascii="Arial" w:hAnsi="Arial" w:cs="Arial"/>
          <w:noProof/>
          <w:lang w:val="sr-Latn-CS"/>
        </w:rPr>
        <w:t xml:space="preserve"> godina je: </w:t>
      </w:r>
    </w:p>
    <w:p w:rsidR="00D021C0" w:rsidRPr="00AE5C99" w:rsidRDefault="00D021C0" w:rsidP="00AE5C99">
      <w:pPr>
        <w:spacing w:after="0" w:line="240" w:lineRule="auto"/>
        <w:jc w:val="both"/>
        <w:rPr>
          <w:rFonts w:ascii="Arial" w:hAnsi="Arial" w:cs="Arial"/>
          <w:noProof/>
          <w:lang w:val="sr-Latn-CS"/>
        </w:rPr>
      </w:pPr>
    </w:p>
    <w:p w:rsidR="00D620F2" w:rsidRPr="00AE5C99" w:rsidRDefault="00F10DEF" w:rsidP="00AE5C99">
      <w:pPr>
        <w:spacing w:after="0" w:line="240" w:lineRule="auto"/>
        <w:jc w:val="center"/>
        <w:rPr>
          <w:rFonts w:ascii="Arial" w:hAnsi="Arial" w:cs="Arial"/>
          <w:b/>
          <w:noProof/>
          <w:lang w:val="sr-Latn-CS"/>
        </w:rPr>
      </w:pPr>
      <w:r w:rsidRPr="00AE5C99">
        <w:rPr>
          <w:rFonts w:ascii="Arial" w:hAnsi="Arial" w:cs="Arial"/>
          <w:b/>
          <w:noProof/>
          <w:lang w:val="sr-Latn-CS"/>
        </w:rPr>
        <w:t xml:space="preserve">VP= </w:t>
      </w:r>
      <w:r w:rsidR="000B1014" w:rsidRPr="00AE5C99">
        <w:rPr>
          <w:rFonts w:ascii="Arial" w:hAnsi="Arial" w:cs="Arial"/>
          <w:b/>
          <w:noProof/>
          <w:lang w:val="sr-Latn-CS"/>
        </w:rPr>
        <w:t>5</w:t>
      </w:r>
      <w:r w:rsidR="00B01C05" w:rsidRPr="00AE5C99">
        <w:rPr>
          <w:rFonts w:ascii="Arial" w:hAnsi="Arial" w:cs="Arial"/>
          <w:b/>
          <w:noProof/>
          <w:lang w:val="sr-Latn-CS"/>
        </w:rPr>
        <w:t>8</w:t>
      </w:r>
      <w:r w:rsidR="000B1014" w:rsidRPr="00AE5C99">
        <w:rPr>
          <w:rFonts w:ascii="Arial" w:hAnsi="Arial" w:cs="Arial"/>
          <w:b/>
          <w:noProof/>
          <w:lang w:val="sr-Latn-CS"/>
        </w:rPr>
        <w:t>0</w:t>
      </w:r>
      <w:r w:rsidR="00D620F2" w:rsidRPr="00AE5C99">
        <w:rPr>
          <w:rFonts w:ascii="Arial" w:hAnsi="Arial" w:cs="Arial"/>
          <w:b/>
          <w:noProof/>
          <w:lang w:val="sr-Latn-CS"/>
        </w:rPr>
        <w:t>.000 m</w:t>
      </w:r>
      <w:r w:rsidR="00D620F2" w:rsidRPr="00AE5C99">
        <w:rPr>
          <w:rFonts w:ascii="Arial" w:hAnsi="Arial" w:cs="Arial"/>
          <w:b/>
          <w:noProof/>
          <w:vertAlign w:val="superscript"/>
          <w:lang w:val="sr-Latn-CS"/>
        </w:rPr>
        <w:t xml:space="preserve">3 </w:t>
      </w:r>
      <w:r w:rsidR="00FD71B8" w:rsidRPr="00AE5C99">
        <w:rPr>
          <w:rFonts w:ascii="Arial" w:hAnsi="Arial" w:cs="Arial"/>
          <w:b/>
          <w:noProof/>
          <w:lang w:val="sr-Latn-CS"/>
        </w:rPr>
        <w:t>č.s.m x 1,5 x 16,32</w:t>
      </w:r>
      <w:r w:rsidR="00D620F2" w:rsidRPr="00AE5C99">
        <w:rPr>
          <w:rFonts w:ascii="Arial" w:hAnsi="Arial" w:cs="Arial"/>
          <w:b/>
          <w:noProof/>
          <w:lang w:val="sr-Latn-CS"/>
        </w:rPr>
        <w:t xml:space="preserve"> €/m</w:t>
      </w:r>
      <w:r w:rsidR="00D620F2" w:rsidRPr="00AE5C99">
        <w:rPr>
          <w:rFonts w:ascii="Arial" w:hAnsi="Arial" w:cs="Arial"/>
          <w:b/>
          <w:noProof/>
          <w:vertAlign w:val="superscript"/>
          <w:lang w:val="sr-Latn-CS"/>
        </w:rPr>
        <w:t xml:space="preserve">3 </w:t>
      </w:r>
      <w:r w:rsidRPr="00AE5C99">
        <w:rPr>
          <w:rFonts w:ascii="Arial" w:hAnsi="Arial" w:cs="Arial"/>
          <w:b/>
          <w:noProof/>
          <w:lang w:val="sr-Latn-CS"/>
        </w:rPr>
        <w:t xml:space="preserve">= </w:t>
      </w:r>
      <w:r w:rsidR="00B01C05" w:rsidRPr="00AE5C99">
        <w:rPr>
          <w:rFonts w:ascii="Arial" w:hAnsi="Arial" w:cs="Arial"/>
          <w:b/>
          <w:noProof/>
          <w:lang w:val="sr-Latn-CS"/>
        </w:rPr>
        <w:t>14</w:t>
      </w:r>
      <w:r w:rsidR="00FD71B8" w:rsidRPr="00AE5C99">
        <w:rPr>
          <w:rFonts w:ascii="Arial" w:hAnsi="Arial" w:cs="Arial"/>
          <w:b/>
          <w:noProof/>
          <w:lang w:val="sr-Latn-CS"/>
        </w:rPr>
        <w:t xml:space="preserve"> </w:t>
      </w:r>
      <w:r w:rsidR="00B01C05" w:rsidRPr="00AE5C99">
        <w:rPr>
          <w:rFonts w:ascii="Arial" w:hAnsi="Arial" w:cs="Arial"/>
          <w:b/>
          <w:noProof/>
          <w:lang w:val="sr-Latn-CS"/>
        </w:rPr>
        <w:t>198</w:t>
      </w:r>
      <w:r w:rsidR="000B1014" w:rsidRPr="00AE5C99">
        <w:rPr>
          <w:rFonts w:ascii="Arial" w:hAnsi="Arial" w:cs="Arial"/>
          <w:b/>
          <w:noProof/>
          <w:lang w:val="sr-Latn-CS"/>
        </w:rPr>
        <w:t xml:space="preserve"> </w:t>
      </w:r>
      <w:r w:rsidR="00B01C05" w:rsidRPr="00AE5C99">
        <w:rPr>
          <w:rFonts w:ascii="Arial" w:hAnsi="Arial" w:cs="Arial"/>
          <w:b/>
          <w:noProof/>
          <w:lang w:val="sr-Latn-CS"/>
        </w:rPr>
        <w:t>400</w:t>
      </w:r>
      <w:r w:rsidR="000B1014" w:rsidRPr="00AE5C99">
        <w:rPr>
          <w:rFonts w:ascii="Arial" w:hAnsi="Arial" w:cs="Arial"/>
          <w:b/>
          <w:noProof/>
          <w:lang w:val="sr-Latn-CS"/>
        </w:rPr>
        <w:t>,00</w:t>
      </w:r>
      <w:r w:rsidR="00D620F2" w:rsidRPr="00AE5C99">
        <w:rPr>
          <w:rFonts w:ascii="Arial" w:hAnsi="Arial" w:cs="Arial"/>
          <w:b/>
          <w:noProof/>
          <w:lang w:val="sr-Latn-CS"/>
        </w:rPr>
        <w:t xml:space="preserve"> € ili 4</w:t>
      </w:r>
      <w:r w:rsidR="00FD71B8" w:rsidRPr="00AE5C99">
        <w:rPr>
          <w:rFonts w:ascii="Arial" w:hAnsi="Arial" w:cs="Arial"/>
          <w:b/>
          <w:noProof/>
          <w:lang w:val="sr-Latn-CS"/>
        </w:rPr>
        <w:t>89 600</w:t>
      </w:r>
      <w:r w:rsidR="00D620F2" w:rsidRPr="00AE5C99">
        <w:rPr>
          <w:rFonts w:ascii="Arial" w:hAnsi="Arial" w:cs="Arial"/>
          <w:b/>
          <w:noProof/>
          <w:lang w:val="sr-Latn-CS"/>
        </w:rPr>
        <w:t>,00 €/godišnje</w:t>
      </w:r>
    </w:p>
    <w:p w:rsidR="00D620F2" w:rsidRPr="00AE5C99" w:rsidRDefault="00D620F2" w:rsidP="00AE5C99">
      <w:pPr>
        <w:spacing w:after="0" w:line="240" w:lineRule="auto"/>
        <w:rPr>
          <w:rFonts w:ascii="Arial" w:hAnsi="Arial" w:cs="Arial"/>
          <w:b/>
          <w:noProof/>
          <w:lang w:val="sr-Latn-CS"/>
        </w:rPr>
      </w:pPr>
    </w:p>
    <w:p w:rsidR="00D620F2" w:rsidRPr="00AE5C99" w:rsidRDefault="007B6041" w:rsidP="00AE5C99">
      <w:pPr>
        <w:pStyle w:val="Heading2"/>
        <w:numPr>
          <w:ilvl w:val="1"/>
          <w:numId w:val="0"/>
        </w:numPr>
        <w:spacing w:before="0" w:after="0" w:line="240" w:lineRule="auto"/>
        <w:ind w:left="576" w:hanging="576"/>
        <w:rPr>
          <w:b/>
          <w:noProof/>
          <w:lang w:val="sr-Latn-CS"/>
        </w:rPr>
      </w:pPr>
      <w:bookmarkStart w:id="29" w:name="_Toc402262959"/>
      <w:r w:rsidRPr="00AE5C99">
        <w:rPr>
          <w:b/>
          <w:i/>
          <w:noProof/>
          <w:lang w:val="sr-Latn-CS"/>
        </w:rPr>
        <w:t xml:space="preserve">8.2  </w:t>
      </w:r>
      <w:r w:rsidR="00D620F2" w:rsidRPr="00AE5C99">
        <w:rPr>
          <w:b/>
          <w:i/>
          <w:noProof/>
          <w:lang w:val="sr-Latn-CS"/>
        </w:rPr>
        <w:t>Obračun minimalne koncesione naknade</w:t>
      </w:r>
      <w:bookmarkEnd w:id="29"/>
    </w:p>
    <w:p w:rsidR="00D021C0" w:rsidRPr="00AE5C99" w:rsidRDefault="00D021C0" w:rsidP="00AE5C99">
      <w:pPr>
        <w:spacing w:after="0" w:line="240" w:lineRule="auto"/>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Minimalna koncesiona naknada za eksploataciju (čl. 18 Uredbe) obračunava se po obrascu:</w:t>
      </w:r>
    </w:p>
    <w:p w:rsidR="00D620F2" w:rsidRPr="00AE5C99" w:rsidRDefault="00D620F2" w:rsidP="00AE5C99">
      <w:pPr>
        <w:spacing w:after="0" w:line="240" w:lineRule="auto"/>
        <w:jc w:val="both"/>
        <w:rPr>
          <w:rFonts w:ascii="Arial" w:hAnsi="Arial" w:cs="Arial"/>
          <w:b/>
          <w:noProof/>
          <w:lang w:val="sr-Latn-CS"/>
        </w:rPr>
      </w:pPr>
      <w:r w:rsidRPr="00AE5C99">
        <w:rPr>
          <w:rFonts w:ascii="Arial" w:hAnsi="Arial" w:cs="Arial"/>
          <w:b/>
          <w:noProof/>
          <w:lang w:val="sr-Latn-CS"/>
        </w:rPr>
        <w:t>MDN= VP x G</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gdje su</w:t>
      </w:r>
      <w:r w:rsidR="007B4C3A" w:rsidRPr="00AE5C99">
        <w:rPr>
          <w:rFonts w:ascii="Arial" w:hAnsi="Arial" w:cs="Arial"/>
          <w:noProof/>
          <w:lang w:val="sr-Latn-CS"/>
        </w:rPr>
        <w:t>:</w:t>
      </w:r>
    </w:p>
    <w:p w:rsidR="00D620F2" w:rsidRPr="00AE5C99" w:rsidRDefault="00D442AC" w:rsidP="00AE5C99">
      <w:pPr>
        <w:spacing w:after="0" w:line="240" w:lineRule="auto"/>
        <w:jc w:val="both"/>
        <w:rPr>
          <w:rFonts w:ascii="Arial" w:hAnsi="Arial" w:cs="Arial"/>
          <w:noProof/>
          <w:lang w:val="sr-Latn-CS"/>
        </w:rPr>
      </w:pPr>
      <w:r w:rsidRPr="00AE5C99">
        <w:rPr>
          <w:rFonts w:ascii="Arial" w:hAnsi="Arial" w:cs="Arial"/>
          <w:noProof/>
          <w:lang w:val="sr-Latn-CS"/>
        </w:rPr>
        <w:t xml:space="preserve">VP - vrijednost proizvodnje = </w:t>
      </w:r>
      <w:r w:rsidR="00B01C05" w:rsidRPr="00AE5C99">
        <w:rPr>
          <w:rFonts w:ascii="Arial" w:hAnsi="Arial" w:cs="Arial"/>
          <w:noProof/>
          <w:lang w:val="sr-Latn-CS"/>
        </w:rPr>
        <w:t>14 198 400</w:t>
      </w:r>
      <w:r w:rsidR="006E4E99" w:rsidRPr="00AE5C99">
        <w:rPr>
          <w:rFonts w:ascii="Arial" w:hAnsi="Arial" w:cs="Arial"/>
          <w:noProof/>
          <w:lang w:val="sr-Latn-CS"/>
        </w:rPr>
        <w:t>,00</w:t>
      </w:r>
      <w:r w:rsidRPr="00AE5C99">
        <w:rPr>
          <w:rFonts w:ascii="Arial" w:hAnsi="Arial" w:cs="Arial"/>
          <w:noProof/>
          <w:lang w:val="sr-Latn-CS"/>
        </w:rPr>
        <w:t xml:space="preserve"> € (za </w:t>
      </w:r>
      <w:r w:rsidR="00B01C05" w:rsidRPr="00AE5C99">
        <w:rPr>
          <w:rFonts w:ascii="Arial" w:hAnsi="Arial" w:cs="Arial"/>
          <w:noProof/>
          <w:lang w:val="sr-Latn-CS"/>
        </w:rPr>
        <w:t>29</w:t>
      </w:r>
      <w:r w:rsidR="00D620F2" w:rsidRPr="00AE5C99">
        <w:rPr>
          <w:rFonts w:ascii="Arial" w:hAnsi="Arial" w:cs="Arial"/>
          <w:noProof/>
          <w:lang w:val="sr-Latn-CS"/>
        </w:rPr>
        <w:t xml:space="preserve"> godin</w:t>
      </w:r>
      <w:r w:rsidR="006E4E99" w:rsidRPr="00AE5C99">
        <w:rPr>
          <w:rFonts w:ascii="Arial" w:hAnsi="Arial" w:cs="Arial"/>
          <w:noProof/>
          <w:lang w:val="sr-Latn-CS"/>
        </w:rPr>
        <w:t>e</w:t>
      </w:r>
      <w:r w:rsidR="00D620F2" w:rsidRPr="00AE5C99">
        <w:rPr>
          <w:rFonts w:ascii="Arial" w:hAnsi="Arial" w:cs="Arial"/>
          <w:noProof/>
          <w:lang w:val="sr-Latn-CS"/>
        </w:rPr>
        <w:t>)</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VP - vrijednost godišnje proizvodnje = </w:t>
      </w:r>
      <w:r w:rsidR="00FD71B8" w:rsidRPr="00AE5C99">
        <w:rPr>
          <w:rFonts w:ascii="Arial" w:hAnsi="Arial" w:cs="Arial"/>
          <w:noProof/>
          <w:lang w:val="sr-Latn-CS"/>
        </w:rPr>
        <w:t>489 6</w:t>
      </w:r>
      <w:r w:rsidRPr="00AE5C99">
        <w:rPr>
          <w:rFonts w:ascii="Arial" w:hAnsi="Arial" w:cs="Arial"/>
          <w:noProof/>
          <w:lang w:val="sr-Latn-CS"/>
        </w:rPr>
        <w:t>00,00 €</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G - minimalni procentni iznos (7%)</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center"/>
        <w:rPr>
          <w:rFonts w:ascii="Arial" w:hAnsi="Arial" w:cs="Arial"/>
          <w:noProof/>
          <w:lang w:val="sr-Latn-CS"/>
        </w:rPr>
      </w:pPr>
      <w:r w:rsidRPr="00AE5C99">
        <w:rPr>
          <w:rFonts w:ascii="Arial" w:hAnsi="Arial" w:cs="Arial"/>
          <w:b/>
          <w:noProof/>
          <w:lang w:val="sr-Latn-CS"/>
        </w:rPr>
        <w:t>M</w:t>
      </w:r>
      <w:r w:rsidR="00D442AC" w:rsidRPr="00AE5C99">
        <w:rPr>
          <w:rFonts w:ascii="Arial" w:hAnsi="Arial" w:cs="Arial"/>
          <w:b/>
          <w:noProof/>
          <w:lang w:val="sr-Latn-CS"/>
        </w:rPr>
        <w:t xml:space="preserve">DN = </w:t>
      </w:r>
      <w:r w:rsidR="00B01C05" w:rsidRPr="00AE5C99">
        <w:rPr>
          <w:rFonts w:ascii="Arial" w:hAnsi="Arial" w:cs="Arial"/>
          <w:b/>
          <w:noProof/>
          <w:lang w:val="sr-Latn-CS"/>
        </w:rPr>
        <w:t xml:space="preserve">14 198 400,00 € </w:t>
      </w:r>
      <w:r w:rsidR="00F600F6" w:rsidRPr="00AE5C99">
        <w:rPr>
          <w:rFonts w:ascii="Arial" w:hAnsi="Arial" w:cs="Arial"/>
          <w:b/>
          <w:noProof/>
          <w:lang w:val="sr-Latn-CS"/>
        </w:rPr>
        <w:t xml:space="preserve">x 0,07 = </w:t>
      </w:r>
      <w:r w:rsidR="00B01C05" w:rsidRPr="00AE5C99">
        <w:rPr>
          <w:rFonts w:ascii="Arial" w:hAnsi="Arial" w:cs="Arial"/>
          <w:b/>
          <w:noProof/>
          <w:lang w:val="sr-Latn-CS"/>
        </w:rPr>
        <w:t>993</w:t>
      </w:r>
      <w:r w:rsidR="00FD71B8" w:rsidRPr="00AE5C99">
        <w:rPr>
          <w:rFonts w:ascii="Arial" w:hAnsi="Arial" w:cs="Arial"/>
          <w:b/>
          <w:noProof/>
          <w:lang w:val="sr-Latn-CS"/>
        </w:rPr>
        <w:t xml:space="preserve"> </w:t>
      </w:r>
      <w:r w:rsidR="00B01C05" w:rsidRPr="00AE5C99">
        <w:rPr>
          <w:rFonts w:ascii="Arial" w:hAnsi="Arial" w:cs="Arial"/>
          <w:b/>
          <w:noProof/>
          <w:lang w:val="sr-Latn-CS"/>
        </w:rPr>
        <w:t>888</w:t>
      </w:r>
      <w:r w:rsidR="00815ABC" w:rsidRPr="00AE5C99">
        <w:rPr>
          <w:rFonts w:ascii="Arial" w:hAnsi="Arial" w:cs="Arial"/>
          <w:b/>
          <w:noProof/>
          <w:lang w:val="sr-Latn-CS"/>
        </w:rPr>
        <w:t xml:space="preserve">,00 </w:t>
      </w:r>
      <w:r w:rsidRPr="00AE5C99">
        <w:rPr>
          <w:rFonts w:ascii="Arial" w:hAnsi="Arial" w:cs="Arial"/>
          <w:b/>
          <w:noProof/>
          <w:lang w:val="sr-Latn-CS"/>
        </w:rPr>
        <w:t>€</w:t>
      </w:r>
      <w:r w:rsidR="00D442AC" w:rsidRPr="00AE5C99">
        <w:rPr>
          <w:rFonts w:ascii="Arial" w:hAnsi="Arial" w:cs="Arial"/>
          <w:noProof/>
          <w:lang w:val="sr-Latn-CS"/>
        </w:rPr>
        <w:t xml:space="preserve"> (ukupno za </w:t>
      </w:r>
      <w:r w:rsidR="00FE2072" w:rsidRPr="00AE5C99">
        <w:rPr>
          <w:rFonts w:ascii="Arial" w:hAnsi="Arial" w:cs="Arial"/>
          <w:noProof/>
          <w:lang w:val="sr-Latn-CS"/>
        </w:rPr>
        <w:t>29</w:t>
      </w:r>
      <w:r w:rsidRPr="00AE5C99">
        <w:rPr>
          <w:rFonts w:ascii="Arial" w:hAnsi="Arial" w:cs="Arial"/>
          <w:noProof/>
          <w:lang w:val="sr-Latn-CS"/>
        </w:rPr>
        <w:t xml:space="preserve"> godina)</w:t>
      </w:r>
    </w:p>
    <w:p w:rsidR="00D620F2" w:rsidRPr="00AE5C99" w:rsidRDefault="006E4E99" w:rsidP="00AE5C99">
      <w:pPr>
        <w:spacing w:after="0" w:line="240" w:lineRule="auto"/>
        <w:jc w:val="center"/>
        <w:rPr>
          <w:rFonts w:ascii="Arial" w:hAnsi="Arial" w:cs="Arial"/>
          <w:b/>
          <w:noProof/>
          <w:lang w:val="sr-Latn-CS"/>
        </w:rPr>
      </w:pPr>
      <w:r w:rsidRPr="00AE5C99">
        <w:rPr>
          <w:rFonts w:ascii="Arial" w:hAnsi="Arial" w:cs="Arial"/>
          <w:b/>
          <w:noProof/>
          <w:lang w:val="sr-Latn-CS"/>
        </w:rPr>
        <w:t>MDN = 4</w:t>
      </w:r>
      <w:r w:rsidR="00FD71B8" w:rsidRPr="00AE5C99">
        <w:rPr>
          <w:rFonts w:ascii="Arial" w:hAnsi="Arial" w:cs="Arial"/>
          <w:b/>
          <w:noProof/>
          <w:lang w:val="sr-Latn-CS"/>
        </w:rPr>
        <w:t>89 600</w:t>
      </w:r>
      <w:r w:rsidRPr="00AE5C99">
        <w:rPr>
          <w:rFonts w:ascii="Arial" w:hAnsi="Arial" w:cs="Arial"/>
          <w:b/>
          <w:noProof/>
          <w:lang w:val="sr-Latn-CS"/>
        </w:rPr>
        <w:t xml:space="preserve">,00 x 0,07 = </w:t>
      </w:r>
      <w:r w:rsidR="00815ABC" w:rsidRPr="00AE5C99">
        <w:rPr>
          <w:rFonts w:ascii="Arial" w:hAnsi="Arial" w:cs="Arial"/>
          <w:b/>
          <w:noProof/>
          <w:lang w:val="sr-Latn-CS"/>
        </w:rPr>
        <w:t>3</w:t>
      </w:r>
      <w:r w:rsidR="00FD71B8" w:rsidRPr="00AE5C99">
        <w:rPr>
          <w:rFonts w:ascii="Arial" w:hAnsi="Arial" w:cs="Arial"/>
          <w:b/>
          <w:noProof/>
          <w:lang w:val="sr-Latn-CS"/>
        </w:rPr>
        <w:t>4</w:t>
      </w:r>
      <w:r w:rsidR="00815ABC" w:rsidRPr="00AE5C99">
        <w:rPr>
          <w:rFonts w:ascii="Arial" w:hAnsi="Arial" w:cs="Arial"/>
          <w:b/>
          <w:noProof/>
          <w:lang w:val="sr-Latn-CS"/>
        </w:rPr>
        <w:t xml:space="preserve"> </w:t>
      </w:r>
      <w:r w:rsidR="00FD71B8" w:rsidRPr="00AE5C99">
        <w:rPr>
          <w:rFonts w:ascii="Arial" w:hAnsi="Arial" w:cs="Arial"/>
          <w:b/>
          <w:noProof/>
          <w:lang w:val="sr-Latn-CS"/>
        </w:rPr>
        <w:t>272</w:t>
      </w:r>
      <w:r w:rsidR="00815ABC" w:rsidRPr="00AE5C99">
        <w:rPr>
          <w:rFonts w:ascii="Arial" w:hAnsi="Arial" w:cs="Arial"/>
          <w:b/>
          <w:noProof/>
          <w:lang w:val="sr-Latn-CS"/>
        </w:rPr>
        <w:t>,00</w:t>
      </w:r>
      <w:r w:rsidR="00D620F2" w:rsidRPr="00AE5C99">
        <w:rPr>
          <w:rFonts w:ascii="Arial" w:hAnsi="Arial" w:cs="Arial"/>
          <w:b/>
          <w:noProof/>
          <w:lang w:val="sr-Latn-CS"/>
        </w:rPr>
        <w:t xml:space="preserve"> €/godišnje</w:t>
      </w:r>
    </w:p>
    <w:p w:rsidR="00D021C0" w:rsidRPr="00AE5C99" w:rsidRDefault="00D021C0" w:rsidP="00AE5C99">
      <w:pPr>
        <w:spacing w:after="0" w:line="240" w:lineRule="auto"/>
        <w:jc w:val="center"/>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Koncesiona naknada (čl. 19 Uredbe) za eksploataciju sastoji</w:t>
      </w:r>
      <w:r w:rsidR="00FE2072" w:rsidRPr="00AE5C99">
        <w:rPr>
          <w:rFonts w:ascii="Arial" w:hAnsi="Arial" w:cs="Arial"/>
          <w:noProof/>
          <w:lang w:val="sr-Latn-CS"/>
        </w:rPr>
        <w:t xml:space="preserve"> se iz stalnog (SDN)</w:t>
      </w:r>
      <w:r w:rsidRPr="00AE5C99">
        <w:rPr>
          <w:rFonts w:ascii="Arial" w:hAnsi="Arial" w:cs="Arial"/>
          <w:noProof/>
          <w:lang w:val="sr-Latn-CS"/>
        </w:rPr>
        <w:t xml:space="preserve"> i promjen</w:t>
      </w:r>
      <w:r w:rsidR="006A4198" w:rsidRPr="00AE5C99">
        <w:rPr>
          <w:rFonts w:ascii="Arial" w:hAnsi="Arial" w:cs="Arial"/>
          <w:noProof/>
          <w:lang w:val="sr-Latn-CS"/>
        </w:rPr>
        <w:t>lj</w:t>
      </w:r>
      <w:r w:rsidRPr="00AE5C99">
        <w:rPr>
          <w:rFonts w:ascii="Arial" w:hAnsi="Arial" w:cs="Arial"/>
          <w:noProof/>
          <w:lang w:val="sr-Latn-CS"/>
        </w:rPr>
        <w:t>ivog (PDN) dijela naknade.</w:t>
      </w:r>
    </w:p>
    <w:p w:rsidR="00D620F2" w:rsidRPr="00AE5C99" w:rsidRDefault="00D620F2"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Obračunata minimalna kon</w:t>
      </w:r>
      <w:r w:rsidR="00FD0CB6" w:rsidRPr="00AE5C99">
        <w:rPr>
          <w:rFonts w:ascii="Arial" w:hAnsi="Arial" w:cs="Arial"/>
          <w:noProof/>
          <w:lang w:val="sr-Latn-CS"/>
        </w:rPr>
        <w:t>cesiona naknada</w:t>
      </w:r>
      <w:r w:rsidRPr="00AE5C99">
        <w:rPr>
          <w:rFonts w:ascii="Arial" w:hAnsi="Arial" w:cs="Arial"/>
          <w:noProof/>
          <w:lang w:val="sr-Latn-CS"/>
        </w:rPr>
        <w:t xml:space="preserve"> predstavlja min</w:t>
      </w:r>
      <w:r w:rsidR="006A4198" w:rsidRPr="00AE5C99">
        <w:rPr>
          <w:rFonts w:ascii="Arial" w:hAnsi="Arial" w:cs="Arial"/>
          <w:noProof/>
          <w:lang w:val="sr-Latn-CS"/>
        </w:rPr>
        <w:t>imalni iznos stalnog</w:t>
      </w:r>
      <w:r w:rsidRPr="00AE5C99">
        <w:rPr>
          <w:rFonts w:ascii="Arial" w:hAnsi="Arial" w:cs="Arial"/>
          <w:noProof/>
          <w:lang w:val="sr-Latn-CS"/>
        </w:rPr>
        <w:t xml:space="preserve"> dijela koncesione naknade:</w:t>
      </w:r>
    </w:p>
    <w:p w:rsidR="00D021C0" w:rsidRPr="00AE5C99" w:rsidRDefault="00D021C0" w:rsidP="00AE5C99">
      <w:pPr>
        <w:spacing w:after="0" w:line="240" w:lineRule="auto"/>
        <w:jc w:val="both"/>
        <w:rPr>
          <w:rFonts w:ascii="Arial" w:hAnsi="Arial" w:cs="Arial"/>
          <w:noProof/>
          <w:lang w:val="sr-Latn-CS"/>
        </w:rPr>
      </w:pPr>
    </w:p>
    <w:p w:rsidR="00FD0CB6" w:rsidRPr="00AE5C99" w:rsidRDefault="00D620F2" w:rsidP="00AE5C99">
      <w:pPr>
        <w:spacing w:after="0" w:line="240" w:lineRule="auto"/>
        <w:jc w:val="both"/>
        <w:rPr>
          <w:rFonts w:ascii="Arial" w:hAnsi="Arial" w:cs="Arial"/>
          <w:b/>
          <w:noProof/>
          <w:lang w:val="sr-Latn-CS"/>
        </w:rPr>
      </w:pPr>
      <w:r w:rsidRPr="00AE5C99">
        <w:rPr>
          <w:rFonts w:ascii="Arial" w:hAnsi="Arial" w:cs="Arial"/>
          <w:b/>
          <w:noProof/>
          <w:lang w:val="sr-Latn-CS"/>
        </w:rPr>
        <w:t>-</w:t>
      </w:r>
      <w:r w:rsidR="00D442AC" w:rsidRPr="00AE5C99">
        <w:rPr>
          <w:rFonts w:ascii="Arial" w:hAnsi="Arial" w:cs="Arial"/>
          <w:b/>
          <w:noProof/>
          <w:lang w:val="sr-Latn-CS"/>
        </w:rPr>
        <w:t>Za period od</w:t>
      </w:r>
      <w:r w:rsidR="00FE2072" w:rsidRPr="00AE5C99">
        <w:rPr>
          <w:rFonts w:ascii="Arial" w:hAnsi="Arial" w:cs="Arial"/>
          <w:b/>
          <w:noProof/>
          <w:lang w:val="sr-Latn-CS"/>
        </w:rPr>
        <w:t xml:space="preserve"> 29</w:t>
      </w:r>
      <w:r w:rsidR="00D442AC" w:rsidRPr="00AE5C99">
        <w:rPr>
          <w:rFonts w:ascii="Arial" w:hAnsi="Arial" w:cs="Arial"/>
          <w:b/>
          <w:noProof/>
          <w:lang w:val="sr-Latn-CS"/>
        </w:rPr>
        <w:t xml:space="preserve"> godina SDN = </w:t>
      </w:r>
      <w:r w:rsidR="00FE2072" w:rsidRPr="00AE5C99">
        <w:rPr>
          <w:rFonts w:ascii="Arial" w:hAnsi="Arial" w:cs="Arial"/>
          <w:b/>
          <w:noProof/>
          <w:lang w:val="sr-Latn-CS"/>
        </w:rPr>
        <w:t xml:space="preserve">993 888,00 </w:t>
      </w:r>
      <w:r w:rsidR="00815ABC" w:rsidRPr="00AE5C99">
        <w:rPr>
          <w:rFonts w:ascii="Arial" w:hAnsi="Arial" w:cs="Arial"/>
          <w:b/>
          <w:noProof/>
          <w:lang w:val="sr-Latn-CS"/>
        </w:rPr>
        <w:t>€</w:t>
      </w:r>
    </w:p>
    <w:p w:rsidR="00D620F2" w:rsidRPr="00AE5C99" w:rsidRDefault="006A4198" w:rsidP="00AE5C99">
      <w:pPr>
        <w:spacing w:after="0" w:line="240" w:lineRule="auto"/>
        <w:jc w:val="both"/>
        <w:rPr>
          <w:rFonts w:ascii="Arial" w:hAnsi="Arial" w:cs="Arial"/>
          <w:b/>
          <w:noProof/>
          <w:lang w:val="sr-Latn-CS"/>
        </w:rPr>
      </w:pPr>
      <w:r w:rsidRPr="00AE5C99">
        <w:rPr>
          <w:rFonts w:ascii="Arial" w:hAnsi="Arial" w:cs="Arial"/>
          <w:b/>
          <w:noProof/>
          <w:lang w:val="sr-Latn-CS"/>
        </w:rPr>
        <w:t>-</w:t>
      </w:r>
      <w:r w:rsidR="00D620F2" w:rsidRPr="00AE5C99">
        <w:rPr>
          <w:rFonts w:ascii="Arial" w:hAnsi="Arial" w:cs="Arial"/>
          <w:b/>
          <w:noProof/>
          <w:lang w:val="sr-Latn-CS"/>
        </w:rPr>
        <w:t xml:space="preserve">SDN (godišnje) = </w:t>
      </w:r>
      <w:r w:rsidR="00FD71B8" w:rsidRPr="00AE5C99">
        <w:rPr>
          <w:rFonts w:ascii="Arial" w:hAnsi="Arial" w:cs="Arial"/>
          <w:b/>
          <w:noProof/>
          <w:lang w:val="sr-Latn-CS"/>
        </w:rPr>
        <w:t>34 272,00</w:t>
      </w:r>
      <w:r w:rsidR="00D620F2" w:rsidRPr="00AE5C99">
        <w:rPr>
          <w:rFonts w:ascii="Arial" w:hAnsi="Arial" w:cs="Arial"/>
          <w:b/>
          <w:noProof/>
          <w:lang w:val="sr-Latn-CS"/>
        </w:rPr>
        <w:t xml:space="preserve"> €.</w:t>
      </w:r>
    </w:p>
    <w:p w:rsidR="00D021C0" w:rsidRPr="00AE5C99" w:rsidRDefault="00D021C0" w:rsidP="00AE5C99">
      <w:pPr>
        <w:spacing w:after="0" w:line="240" w:lineRule="auto"/>
        <w:jc w:val="both"/>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Stalni dio koncesione naknade koji se utvrđuje Ugovorom o koncesiji, može, u </w:t>
      </w:r>
      <w:r w:rsidR="00D64840" w:rsidRPr="00AE5C99">
        <w:rPr>
          <w:rFonts w:ascii="Arial" w:hAnsi="Arial" w:cs="Arial"/>
          <w:noProof/>
          <w:lang w:val="sr-Latn-CS"/>
        </w:rPr>
        <w:t>zavisnosti od ponuda, biti veći o</w:t>
      </w:r>
      <w:r w:rsidRPr="00AE5C99">
        <w:rPr>
          <w:rFonts w:ascii="Arial" w:hAnsi="Arial" w:cs="Arial"/>
          <w:noProof/>
          <w:lang w:val="sr-Latn-CS"/>
        </w:rPr>
        <w:t>d obračunatog minimalnog iznosa.</w:t>
      </w:r>
    </w:p>
    <w:p w:rsidR="00D021C0" w:rsidRPr="00AE5C99" w:rsidRDefault="00D021C0" w:rsidP="00AE5C99">
      <w:pPr>
        <w:spacing w:after="0" w:line="240" w:lineRule="auto"/>
        <w:jc w:val="both"/>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D021C0" w:rsidRPr="00AE5C99" w:rsidRDefault="00D021C0" w:rsidP="00AE5C99">
      <w:pPr>
        <w:spacing w:after="0" w:line="240" w:lineRule="auto"/>
        <w:jc w:val="both"/>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Ugovoreni godišnji iznos SDN Koncesionar plaća tokom konesionog perioda u jednakim polugodišnjim ratama do kraja juna, odnosno, decembra tekuće godine.</w:t>
      </w:r>
    </w:p>
    <w:p w:rsidR="00D021C0" w:rsidRPr="00AE5C99" w:rsidRDefault="00D021C0" w:rsidP="00AE5C99">
      <w:pPr>
        <w:spacing w:after="0" w:line="240" w:lineRule="auto"/>
        <w:rPr>
          <w:rFonts w:ascii="Arial" w:hAnsi="Arial" w:cs="Arial"/>
          <w:noProof/>
          <w:lang w:val="sr-Latn-CS"/>
        </w:rPr>
      </w:pPr>
    </w:p>
    <w:p w:rsidR="00D620F2" w:rsidRPr="00AE5C99" w:rsidRDefault="00E21B44" w:rsidP="00AE5C99">
      <w:pPr>
        <w:pStyle w:val="Heading2"/>
        <w:numPr>
          <w:ilvl w:val="1"/>
          <w:numId w:val="0"/>
        </w:numPr>
        <w:spacing w:before="0" w:after="0" w:line="240" w:lineRule="auto"/>
        <w:ind w:left="576" w:hanging="576"/>
        <w:rPr>
          <w:b/>
          <w:i/>
          <w:noProof/>
          <w:lang w:val="sr-Latn-CS"/>
        </w:rPr>
      </w:pPr>
      <w:bookmarkStart w:id="30" w:name="_Toc402262960"/>
      <w:r w:rsidRPr="00AE5C99">
        <w:rPr>
          <w:b/>
          <w:i/>
          <w:noProof/>
          <w:lang w:val="sr-Latn-CS"/>
        </w:rPr>
        <w:t>8</w:t>
      </w:r>
      <w:r w:rsidR="00306531" w:rsidRPr="00AE5C99">
        <w:rPr>
          <w:b/>
          <w:i/>
          <w:noProof/>
          <w:lang w:val="sr-Latn-CS"/>
        </w:rPr>
        <w:t>.</w:t>
      </w:r>
      <w:r w:rsidR="007B6041" w:rsidRPr="00AE5C99">
        <w:rPr>
          <w:b/>
          <w:i/>
          <w:noProof/>
          <w:lang w:val="sr-Latn-CS"/>
        </w:rPr>
        <w:t>3</w:t>
      </w:r>
      <w:r w:rsidR="00306531" w:rsidRPr="00AE5C99">
        <w:rPr>
          <w:b/>
          <w:i/>
          <w:noProof/>
          <w:lang w:val="sr-Latn-CS"/>
        </w:rPr>
        <w:t xml:space="preserve">. </w:t>
      </w:r>
      <w:r w:rsidR="00F52D67" w:rsidRPr="00AE5C99">
        <w:rPr>
          <w:b/>
          <w:i/>
          <w:noProof/>
          <w:lang w:val="sr-Latn-CS"/>
        </w:rPr>
        <w:t>Promjen</w:t>
      </w:r>
      <w:r w:rsidR="00D620F2" w:rsidRPr="00AE5C99">
        <w:rPr>
          <w:b/>
          <w:i/>
          <w:noProof/>
          <w:lang w:val="sr-Latn-CS"/>
        </w:rPr>
        <w:t>jivi dio koncesione naknade (PDN)</w:t>
      </w:r>
      <w:bookmarkEnd w:id="30"/>
    </w:p>
    <w:p w:rsidR="00D021C0" w:rsidRPr="00AE5C99" w:rsidRDefault="00D021C0" w:rsidP="00AE5C99">
      <w:pPr>
        <w:spacing w:after="0" w:line="240" w:lineRule="auto"/>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Promjen</w:t>
      </w:r>
      <w:r w:rsidR="006A4198" w:rsidRPr="00AE5C99">
        <w:rPr>
          <w:rFonts w:ascii="Arial" w:hAnsi="Arial" w:cs="Arial"/>
          <w:noProof/>
          <w:lang w:val="sr-Latn-CS"/>
        </w:rPr>
        <w:t>l</w:t>
      </w:r>
      <w:r w:rsidRPr="00AE5C99">
        <w:rPr>
          <w:rFonts w:ascii="Arial" w:hAnsi="Arial" w:cs="Arial"/>
          <w:noProof/>
          <w:lang w:val="sr-Latn-CS"/>
        </w:rPr>
        <w:t>jivi dio naknade obračunava se godišnje po obrascu:</w:t>
      </w:r>
    </w:p>
    <w:p w:rsidR="00FE2072" w:rsidRPr="00AE5C99" w:rsidRDefault="00FE2072" w:rsidP="00AE5C99">
      <w:pPr>
        <w:spacing w:after="0" w:line="240" w:lineRule="auto"/>
        <w:jc w:val="both"/>
        <w:rPr>
          <w:rFonts w:ascii="Arial" w:hAnsi="Arial" w:cs="Arial"/>
          <w:b/>
          <w:noProof/>
          <w:lang w:val="sr-Latn-CS"/>
        </w:rPr>
      </w:pPr>
    </w:p>
    <w:p w:rsidR="00D620F2" w:rsidRPr="00AE5C99" w:rsidRDefault="007B37D3" w:rsidP="00AE5C99">
      <w:pPr>
        <w:spacing w:after="0" w:line="240" w:lineRule="auto"/>
        <w:jc w:val="both"/>
        <w:rPr>
          <w:rFonts w:ascii="Arial" w:hAnsi="Arial" w:cs="Arial"/>
          <w:b/>
          <w:noProof/>
          <w:lang w:val="sr-Latn-CS"/>
        </w:rPr>
      </w:pPr>
      <w:r w:rsidRPr="00AE5C99">
        <w:rPr>
          <w:rFonts w:ascii="Arial" w:hAnsi="Arial" w:cs="Arial"/>
          <w:b/>
          <w:noProof/>
          <w:lang w:val="sr-Latn-CS"/>
        </w:rPr>
        <w:t>PDN=VPx(</w:t>
      </w:r>
      <w:r w:rsidR="00D620F2" w:rsidRPr="00AE5C99">
        <w:rPr>
          <w:rFonts w:ascii="Arial" w:hAnsi="Arial" w:cs="Arial"/>
          <w:b/>
          <w:noProof/>
          <w:lang w:val="sr-Latn-CS"/>
        </w:rPr>
        <w:t>G</w:t>
      </w:r>
      <w:r w:rsidR="00F600F6" w:rsidRPr="00AE5C99">
        <w:rPr>
          <w:rFonts w:ascii="Arial" w:hAnsi="Arial" w:cs="Arial"/>
          <w:b/>
          <w:noProof/>
          <w:lang w:val="sr-Latn-CS"/>
        </w:rPr>
        <w:t>+</w:t>
      </w:r>
      <w:r w:rsidR="00D620F2" w:rsidRPr="00AE5C99">
        <w:rPr>
          <w:rFonts w:ascii="Arial" w:hAnsi="Arial" w:cs="Arial"/>
          <w:b/>
          <w:noProof/>
          <w:lang w:val="sr-Latn-CS"/>
        </w:rPr>
        <w:t>K) &gt; SDN (godišnjeg iznosa)</w:t>
      </w:r>
    </w:p>
    <w:p w:rsidR="00D021C0" w:rsidRPr="00AE5C99" w:rsidRDefault="00D021C0" w:rsidP="00AE5C99">
      <w:pPr>
        <w:spacing w:after="0" w:line="240" w:lineRule="auto"/>
        <w:jc w:val="both"/>
        <w:rPr>
          <w:rFonts w:ascii="Arial" w:hAnsi="Arial" w:cs="Arial"/>
          <w:b/>
          <w:noProof/>
          <w:lang w:val="sr-Latn-CS"/>
        </w:rPr>
      </w:pPr>
    </w:p>
    <w:p w:rsidR="00D620F2" w:rsidRPr="00AE5C99" w:rsidRDefault="00D021C0" w:rsidP="00AE5C99">
      <w:pPr>
        <w:spacing w:after="0" w:line="240" w:lineRule="auto"/>
        <w:jc w:val="both"/>
        <w:rPr>
          <w:rFonts w:ascii="Arial" w:hAnsi="Arial" w:cs="Arial"/>
          <w:noProof/>
          <w:lang w:val="sr-Latn-CS"/>
        </w:rPr>
      </w:pPr>
      <w:r w:rsidRPr="00AE5C99">
        <w:rPr>
          <w:rFonts w:ascii="Arial" w:hAnsi="Arial" w:cs="Arial"/>
          <w:noProof/>
          <w:lang w:val="sr-Latn-CS"/>
        </w:rPr>
        <w:t>g</w:t>
      </w:r>
      <w:r w:rsidR="00D620F2" w:rsidRPr="00AE5C99">
        <w:rPr>
          <w:rFonts w:ascii="Arial" w:hAnsi="Arial" w:cs="Arial"/>
          <w:noProof/>
          <w:lang w:val="sr-Latn-CS"/>
        </w:rPr>
        <w:t>dje su:</w:t>
      </w:r>
    </w:p>
    <w:p w:rsidR="00D620F2" w:rsidRPr="00AE5C99" w:rsidRDefault="00D620F2" w:rsidP="00AE5C99">
      <w:pPr>
        <w:spacing w:after="0" w:line="240" w:lineRule="auto"/>
        <w:jc w:val="both"/>
        <w:rPr>
          <w:rFonts w:ascii="Arial" w:hAnsi="Arial" w:cs="Arial"/>
          <w:b/>
          <w:noProof/>
          <w:lang w:val="sr-Latn-CS"/>
        </w:rPr>
      </w:pPr>
      <w:r w:rsidRPr="00AE5C99">
        <w:rPr>
          <w:rFonts w:ascii="Arial" w:hAnsi="Arial" w:cs="Arial"/>
          <w:noProof/>
          <w:lang w:val="sr-Latn-CS"/>
        </w:rPr>
        <w:t xml:space="preserve">VP - godišnja vrijednost proizvodnje obračunata na osnovu ostvarene godišnje proizvodnje mineralne sirovine </w:t>
      </w:r>
      <w:r w:rsidR="007B4C3A" w:rsidRPr="00AE5C99">
        <w:rPr>
          <w:rFonts w:ascii="Arial" w:hAnsi="Arial" w:cs="Arial"/>
          <w:noProof/>
          <w:lang w:val="sr-Latn-CS"/>
        </w:rPr>
        <w:t>i</w:t>
      </w:r>
      <w:r w:rsidRPr="00AE5C99">
        <w:rPr>
          <w:rFonts w:ascii="Arial" w:hAnsi="Arial" w:cs="Arial"/>
          <w:noProof/>
          <w:lang w:val="sr-Latn-CS"/>
        </w:rPr>
        <w:t xml:space="preserve"> prosječne godišnje prodajne cijene proizvoda</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G - ugovoreni procentualni iznos za pripadnost grupi ležišta (ne manji od 7%)</w:t>
      </w:r>
    </w:p>
    <w:p w:rsidR="00A8364D" w:rsidRPr="00AE5C99" w:rsidRDefault="00A8364D" w:rsidP="00AE5C99">
      <w:pPr>
        <w:spacing w:after="0" w:line="240" w:lineRule="auto"/>
        <w:jc w:val="both"/>
        <w:rPr>
          <w:rFonts w:ascii="Arial" w:hAnsi="Arial" w:cs="Arial"/>
          <w:noProof/>
          <w:lang w:val="sr-Latn-CS"/>
        </w:rPr>
      </w:pPr>
      <w:r w:rsidRPr="00AE5C99">
        <w:rPr>
          <w:rFonts w:ascii="Arial" w:hAnsi="Arial" w:cs="Arial"/>
          <w:noProof/>
          <w:lang w:val="sr-Latn-CS"/>
        </w:rPr>
        <w:t>K - vrijednost korektivnog faktora po osnovu ostvarene proizvodnje, obraču</w:t>
      </w:r>
      <w:r w:rsidR="00740CC3" w:rsidRPr="00AE5C99">
        <w:rPr>
          <w:rFonts w:ascii="Arial" w:hAnsi="Arial" w:cs="Arial"/>
          <w:noProof/>
          <w:lang w:val="sr-Latn-CS"/>
        </w:rPr>
        <w:t>nati iznos se uvećava od 0 do 3</w:t>
      </w:r>
      <w:r w:rsidRPr="00AE5C99">
        <w:rPr>
          <w:rFonts w:ascii="Arial" w:hAnsi="Arial" w:cs="Arial"/>
          <w:noProof/>
          <w:lang w:val="sr-Latn-CS"/>
        </w:rPr>
        <w:t>% (čl. 21 Uredbe).</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Promjen</w:t>
      </w:r>
      <w:r w:rsidR="006A4198" w:rsidRPr="00AE5C99">
        <w:rPr>
          <w:rFonts w:ascii="Arial" w:hAnsi="Arial" w:cs="Arial"/>
          <w:noProof/>
          <w:lang w:val="sr-Latn-CS"/>
        </w:rPr>
        <w:t>l</w:t>
      </w:r>
      <w:r w:rsidRPr="00AE5C99">
        <w:rPr>
          <w:rFonts w:ascii="Arial" w:hAnsi="Arial" w:cs="Arial"/>
          <w:noProof/>
          <w:lang w:val="sr-Latn-CS"/>
        </w:rPr>
        <w:t>jivi dio naknade, obračunava se na kraju svake godine. Uplata se vrši jedanput godišnje na osnovu Rješenja nadležnog ministarstva.</w:t>
      </w:r>
    </w:p>
    <w:p w:rsidR="00D021C0" w:rsidRPr="00AE5C99" w:rsidRDefault="00D021C0" w:rsidP="00AE5C99">
      <w:pPr>
        <w:spacing w:after="0" w:line="240" w:lineRule="auto"/>
        <w:rPr>
          <w:rFonts w:ascii="Arial" w:hAnsi="Arial" w:cs="Arial"/>
          <w:noProof/>
          <w:lang w:val="sr-Latn-CS"/>
        </w:rPr>
      </w:pPr>
    </w:p>
    <w:p w:rsidR="00D620F2" w:rsidRPr="00AE5C99" w:rsidRDefault="00D620F2" w:rsidP="00AE5C99">
      <w:pPr>
        <w:spacing w:after="0" w:line="240" w:lineRule="auto"/>
        <w:rPr>
          <w:rFonts w:ascii="Arial" w:hAnsi="Arial" w:cs="Arial"/>
          <w:noProof/>
          <w:lang w:val="sr-Latn-CS"/>
        </w:rPr>
      </w:pPr>
      <w:r w:rsidRPr="00AE5C99">
        <w:rPr>
          <w:rFonts w:ascii="Arial" w:hAnsi="Arial" w:cs="Arial"/>
          <w:noProof/>
          <w:lang w:val="sr-Latn-CS"/>
        </w:rPr>
        <w:t>Obračun PDN se vrši na osnovu sljedeće dokumentacije:</w:t>
      </w:r>
    </w:p>
    <w:p w:rsidR="00A8364D" w:rsidRPr="00AE5C99" w:rsidRDefault="00A8364D" w:rsidP="00AE5C99">
      <w:pPr>
        <w:spacing w:after="0" w:line="240" w:lineRule="auto"/>
        <w:rPr>
          <w:rFonts w:ascii="Arial" w:hAnsi="Arial" w:cs="Arial"/>
          <w:noProof/>
          <w:lang w:val="sr-Latn-CS"/>
        </w:rPr>
      </w:pP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godišnjeg tehničkog izvještaja;</w:t>
      </w:r>
    </w:p>
    <w:p w:rsidR="00D620F2"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lastRenderedPageBreak/>
        <w:t>izvještaja o radu i ostvarenom prihodu po osnovu ostvarene proizvodnje mineralne sirovine; i</w:t>
      </w:r>
    </w:p>
    <w:p w:rsidR="009B1797" w:rsidRPr="00AE5C99" w:rsidRDefault="00D620F2" w:rsidP="00AE5C99">
      <w:pPr>
        <w:numPr>
          <w:ilvl w:val="0"/>
          <w:numId w:val="2"/>
        </w:numPr>
        <w:suppressAutoHyphens/>
        <w:spacing w:after="0" w:line="240" w:lineRule="auto"/>
        <w:jc w:val="both"/>
        <w:rPr>
          <w:rFonts w:ascii="Arial" w:hAnsi="Arial" w:cs="Arial"/>
          <w:noProof/>
          <w:lang w:val="sr-Latn-CS"/>
        </w:rPr>
      </w:pPr>
      <w:r w:rsidRPr="00AE5C99">
        <w:rPr>
          <w:rFonts w:ascii="Arial" w:hAnsi="Arial" w:cs="Arial"/>
          <w:noProof/>
          <w:lang w:val="sr-Latn-CS"/>
        </w:rPr>
        <w:t>dokaza o količinama i prosječno ostvarenim prodajnim cijenama jedinice proizvoda na domaćem i stranom tržištu.</w:t>
      </w:r>
    </w:p>
    <w:p w:rsidR="00D021C0" w:rsidRPr="00AE5C99" w:rsidRDefault="00D021C0" w:rsidP="00AE5C99">
      <w:pPr>
        <w:suppressAutoHyphens/>
        <w:spacing w:after="0" w:line="240" w:lineRule="auto"/>
        <w:jc w:val="both"/>
        <w:rPr>
          <w:rFonts w:ascii="Arial" w:hAnsi="Arial" w:cs="Arial"/>
          <w:noProof/>
          <w:lang w:val="sr-Latn-CS"/>
        </w:rPr>
      </w:pPr>
    </w:p>
    <w:p w:rsidR="00D620F2" w:rsidRPr="00AE5C99" w:rsidRDefault="00D620F2" w:rsidP="00AE5C99">
      <w:pPr>
        <w:suppressAutoHyphens/>
        <w:spacing w:after="0" w:line="240" w:lineRule="auto"/>
        <w:jc w:val="both"/>
        <w:rPr>
          <w:rFonts w:ascii="Arial" w:hAnsi="Arial" w:cs="Arial"/>
          <w:noProof/>
          <w:lang w:val="sr-Latn-CS"/>
        </w:rPr>
      </w:pPr>
      <w:r w:rsidRPr="00AE5C99">
        <w:rPr>
          <w:rFonts w:ascii="Arial" w:hAnsi="Arial" w:cs="Arial"/>
          <w:noProof/>
          <w:lang w:val="sr-Latn-CS"/>
        </w:rPr>
        <w:t>Dokumentaciju za obračun PDN podnosi koncesionar najkasnije do kraja m</w:t>
      </w:r>
      <w:r w:rsidR="00A460E0" w:rsidRPr="00AE5C99">
        <w:rPr>
          <w:rFonts w:ascii="Arial" w:hAnsi="Arial" w:cs="Arial"/>
          <w:noProof/>
          <w:lang w:val="sr-Latn-CS"/>
        </w:rPr>
        <w:t>arta tekuće, za prethodnu godinu</w:t>
      </w:r>
      <w:r w:rsidRPr="00AE5C99">
        <w:rPr>
          <w:rFonts w:ascii="Arial" w:hAnsi="Arial" w:cs="Arial"/>
          <w:noProof/>
          <w:lang w:val="sr-Latn-CS"/>
        </w:rPr>
        <w:t>.</w:t>
      </w:r>
    </w:p>
    <w:p w:rsidR="00045BF7" w:rsidRPr="00AE5C99" w:rsidRDefault="00045BF7" w:rsidP="00AE5C99">
      <w:pPr>
        <w:spacing w:line="240" w:lineRule="auto"/>
        <w:rPr>
          <w:rFonts w:ascii="Arial" w:hAnsi="Arial" w:cs="Arial"/>
          <w:noProof/>
          <w:lang w:val="sr-Latn-CS"/>
        </w:rPr>
      </w:pPr>
    </w:p>
    <w:p w:rsidR="00D620F2" w:rsidRPr="00AE5C99" w:rsidRDefault="006A68F3" w:rsidP="00AE5C99">
      <w:pPr>
        <w:pStyle w:val="Heading1"/>
        <w:numPr>
          <w:ilvl w:val="0"/>
          <w:numId w:val="18"/>
        </w:numPr>
        <w:ind w:left="360"/>
        <w:rPr>
          <w:noProof/>
          <w:lang w:val="sr-Latn-CS"/>
        </w:rPr>
      </w:pPr>
      <w:bookmarkStart w:id="31" w:name="_Toc390549915"/>
      <w:bookmarkStart w:id="32" w:name="_Toc4581264"/>
      <w:r w:rsidRPr="00AE5C99">
        <w:rPr>
          <w:noProof/>
          <w:lang w:val="sr-Latn-CS"/>
        </w:rPr>
        <w:t>KRITERIJUMI ZA IZBOR NAJPOVOLJNIJE PONUDE</w:t>
      </w:r>
      <w:bookmarkEnd w:id="31"/>
      <w:bookmarkEnd w:id="32"/>
    </w:p>
    <w:p w:rsidR="00D021C0" w:rsidRPr="00AE5C99" w:rsidRDefault="00D021C0" w:rsidP="00AE5C99">
      <w:pPr>
        <w:spacing w:after="0" w:line="240" w:lineRule="auto"/>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Kriterijumi na osnovu kojih se vrši vrednovanje ponuda su sljedeći:</w:t>
      </w:r>
    </w:p>
    <w:p w:rsidR="00D021C0" w:rsidRPr="00AE5C99" w:rsidRDefault="00D021C0" w:rsidP="00AE5C99">
      <w:pPr>
        <w:spacing w:after="0" w:line="240" w:lineRule="auto"/>
        <w:jc w:val="both"/>
        <w:rPr>
          <w:rFonts w:ascii="Arial" w:hAnsi="Arial" w:cs="Arial"/>
          <w:noProof/>
          <w:lang w:val="sr-Latn-C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983"/>
        <w:gridCol w:w="1604"/>
      </w:tblGrid>
      <w:tr w:rsidR="00EA75D6" w:rsidRPr="00AE5C99" w:rsidTr="009922B4">
        <w:trPr>
          <w:trHeight w:val="285"/>
        </w:trPr>
        <w:tc>
          <w:tcPr>
            <w:tcW w:w="656" w:type="dxa"/>
            <w:shd w:val="clear" w:color="auto" w:fill="FFFFFF"/>
          </w:tcPr>
          <w:p w:rsidR="00EA75D6" w:rsidRPr="00AE5C99" w:rsidRDefault="00EA75D6" w:rsidP="00AE5C99">
            <w:pPr>
              <w:spacing w:after="0" w:line="240" w:lineRule="auto"/>
              <w:jc w:val="center"/>
              <w:rPr>
                <w:rFonts w:ascii="Arial" w:hAnsi="Arial" w:cs="Arial"/>
                <w:b/>
              </w:rPr>
            </w:pPr>
            <w:bookmarkStart w:id="33" w:name="_Toc390549916"/>
            <w:bookmarkStart w:id="34" w:name="_Toc402262962"/>
            <w:r w:rsidRPr="00AE5C99">
              <w:rPr>
                <w:rFonts w:ascii="Arial" w:hAnsi="Arial" w:cs="Arial"/>
                <w:b/>
              </w:rPr>
              <w:t>R.B.</w:t>
            </w:r>
          </w:p>
        </w:tc>
        <w:tc>
          <w:tcPr>
            <w:tcW w:w="7283" w:type="dxa"/>
            <w:shd w:val="clear" w:color="auto" w:fill="FFFFFF"/>
          </w:tcPr>
          <w:p w:rsidR="00EA75D6" w:rsidRPr="00AE5C99" w:rsidRDefault="00EA75D6" w:rsidP="00AE5C99">
            <w:pPr>
              <w:spacing w:after="0" w:line="240" w:lineRule="auto"/>
              <w:jc w:val="center"/>
              <w:rPr>
                <w:rFonts w:ascii="Arial" w:hAnsi="Arial" w:cs="Arial"/>
                <w:b/>
                <w:lang w:val="pl-PL"/>
              </w:rPr>
            </w:pPr>
            <w:r w:rsidRPr="00AE5C99">
              <w:rPr>
                <w:rFonts w:ascii="Arial" w:hAnsi="Arial" w:cs="Arial"/>
                <w:b/>
                <w:lang w:val="pl-PL"/>
              </w:rPr>
              <w:t>K R I T E R I J U M I</w:t>
            </w:r>
          </w:p>
        </w:tc>
        <w:tc>
          <w:tcPr>
            <w:tcW w:w="1637" w:type="dxa"/>
            <w:shd w:val="clear" w:color="auto" w:fill="FFFFFF"/>
          </w:tcPr>
          <w:p w:rsidR="00EA75D6" w:rsidRPr="00AE5C99" w:rsidRDefault="00EA75D6" w:rsidP="00AE5C99">
            <w:pPr>
              <w:spacing w:after="0" w:line="240" w:lineRule="auto"/>
              <w:jc w:val="center"/>
              <w:rPr>
                <w:rFonts w:ascii="Arial" w:hAnsi="Arial" w:cs="Arial"/>
                <w:b/>
              </w:rPr>
            </w:pPr>
            <w:proofErr w:type="spellStart"/>
            <w:r w:rsidRPr="00AE5C99">
              <w:rPr>
                <w:rFonts w:ascii="Arial" w:hAnsi="Arial" w:cs="Arial"/>
                <w:b/>
              </w:rPr>
              <w:t>Broj</w:t>
            </w:r>
            <w:proofErr w:type="spellEnd"/>
            <w:r w:rsidRPr="00AE5C99">
              <w:rPr>
                <w:rFonts w:ascii="Arial" w:hAnsi="Arial" w:cs="Arial"/>
                <w:b/>
              </w:rPr>
              <w:t xml:space="preserve"> </w:t>
            </w:r>
            <w:proofErr w:type="spellStart"/>
            <w:r w:rsidRPr="00AE5C99">
              <w:rPr>
                <w:rFonts w:ascii="Arial" w:hAnsi="Arial" w:cs="Arial"/>
                <w:b/>
              </w:rPr>
              <w:t>bodova</w:t>
            </w:r>
            <w:proofErr w:type="spellEnd"/>
          </w:p>
        </w:tc>
      </w:tr>
      <w:tr w:rsidR="00AE5C99" w:rsidRPr="00AE5C99" w:rsidTr="009922B4">
        <w:tc>
          <w:tcPr>
            <w:tcW w:w="656" w:type="dxa"/>
          </w:tcPr>
          <w:p w:rsidR="009F7737" w:rsidRPr="00AE5C99" w:rsidRDefault="009F7737" w:rsidP="00AE5C99">
            <w:pPr>
              <w:spacing w:after="0" w:line="240" w:lineRule="auto"/>
              <w:jc w:val="center"/>
              <w:rPr>
                <w:rFonts w:ascii="Arial" w:hAnsi="Arial" w:cs="Arial"/>
                <w:b/>
                <w:noProof/>
              </w:rPr>
            </w:pPr>
            <w:r w:rsidRPr="00AE5C99">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rPr>
            </w:pPr>
            <w:proofErr w:type="spellStart"/>
            <w:r w:rsidRPr="00AE5C99">
              <w:rPr>
                <w:rFonts w:ascii="Arial" w:eastAsiaTheme="minorEastAsia" w:hAnsi="Arial" w:cs="Arial"/>
              </w:rPr>
              <w:t>Ponuđeni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procentualni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iznos</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za</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obračun</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koncesione</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naknade</w:t>
            </w:r>
            <w:proofErr w:type="spellEnd"/>
          </w:p>
        </w:tc>
        <w:tc>
          <w:tcPr>
            <w:tcW w:w="1637" w:type="dxa"/>
            <w:tcBorders>
              <w:top w:val="single" w:sz="12" w:space="0" w:color="auto"/>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b/>
              </w:rPr>
            </w:pPr>
            <w:r w:rsidRPr="00AE5C99">
              <w:rPr>
                <w:rFonts w:ascii="Arial" w:eastAsiaTheme="minorEastAsia" w:hAnsi="Arial" w:cs="Arial"/>
                <w:b/>
              </w:rPr>
              <w:t>40</w:t>
            </w:r>
          </w:p>
        </w:tc>
      </w:tr>
      <w:tr w:rsidR="00AE5C99" w:rsidRPr="00AE5C99" w:rsidTr="009922B4">
        <w:trPr>
          <w:trHeight w:val="285"/>
        </w:trPr>
        <w:tc>
          <w:tcPr>
            <w:tcW w:w="656" w:type="dxa"/>
          </w:tcPr>
          <w:p w:rsidR="009F7737" w:rsidRPr="00AE5C99" w:rsidRDefault="009F7737" w:rsidP="00AE5C99">
            <w:pPr>
              <w:spacing w:after="0" w:line="240" w:lineRule="auto"/>
              <w:jc w:val="center"/>
              <w:rPr>
                <w:rFonts w:ascii="Arial" w:hAnsi="Arial" w:cs="Arial"/>
                <w:b/>
                <w:noProof/>
              </w:rPr>
            </w:pPr>
            <w:r w:rsidRPr="00AE5C99">
              <w:rPr>
                <w:rFonts w:ascii="Arial" w:hAnsi="Arial" w:cs="Arial"/>
                <w:b/>
                <w:noProof/>
              </w:rPr>
              <w:t>9.2</w:t>
            </w:r>
          </w:p>
        </w:tc>
        <w:tc>
          <w:tcPr>
            <w:tcW w:w="7283" w:type="dxa"/>
            <w:tcBorders>
              <w:left w:val="single" w:sz="12" w:space="0" w:color="auto"/>
              <w:bottom w:val="single" w:sz="4"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rPr>
            </w:pPr>
            <w:proofErr w:type="spellStart"/>
            <w:r w:rsidRPr="00AE5C99">
              <w:rPr>
                <w:rFonts w:ascii="Arial" w:eastAsiaTheme="minorEastAsia" w:hAnsi="Arial" w:cs="Arial"/>
              </w:rPr>
              <w:t>Ponuđeni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obim</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godišnje</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rudarske</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proizvodnje</w:t>
            </w:r>
            <w:proofErr w:type="spellEnd"/>
          </w:p>
        </w:tc>
        <w:tc>
          <w:tcPr>
            <w:tcW w:w="1637" w:type="dxa"/>
            <w:tcBorders>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b/>
              </w:rPr>
            </w:pPr>
            <w:r w:rsidRPr="00AE5C99">
              <w:rPr>
                <w:rFonts w:ascii="Arial" w:eastAsiaTheme="minorEastAsia" w:hAnsi="Arial" w:cs="Arial"/>
                <w:b/>
              </w:rPr>
              <w:t>20</w:t>
            </w:r>
          </w:p>
        </w:tc>
      </w:tr>
      <w:tr w:rsidR="00AE5C99" w:rsidRPr="00AE5C99" w:rsidTr="009922B4">
        <w:trPr>
          <w:trHeight w:val="285"/>
        </w:trPr>
        <w:tc>
          <w:tcPr>
            <w:tcW w:w="656" w:type="dxa"/>
          </w:tcPr>
          <w:p w:rsidR="009F7737" w:rsidRPr="00AE5C99" w:rsidRDefault="009F7737" w:rsidP="00AE5C99">
            <w:pPr>
              <w:spacing w:after="0" w:line="240" w:lineRule="auto"/>
              <w:jc w:val="center"/>
              <w:rPr>
                <w:rFonts w:ascii="Arial" w:hAnsi="Arial" w:cs="Arial"/>
                <w:b/>
                <w:noProof/>
              </w:rPr>
            </w:pPr>
            <w:r w:rsidRPr="00AE5C99">
              <w:rPr>
                <w:rFonts w:ascii="Arial" w:hAnsi="Arial" w:cs="Arial"/>
                <w:b/>
                <w:noProof/>
              </w:rPr>
              <w:t>9.3</w:t>
            </w:r>
          </w:p>
        </w:tc>
        <w:tc>
          <w:tcPr>
            <w:tcW w:w="7283" w:type="dxa"/>
            <w:tcBorders>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rPr>
            </w:pPr>
            <w:r w:rsidRPr="00AE5C99">
              <w:rPr>
                <w:rFonts w:ascii="Arial" w:eastAsiaTheme="minorEastAsia" w:hAnsi="Arial" w:cs="Arial"/>
              </w:rPr>
              <w:t xml:space="preserve">Reference </w:t>
            </w:r>
            <w:proofErr w:type="spellStart"/>
            <w:r w:rsidRPr="00AE5C99">
              <w:rPr>
                <w:rFonts w:ascii="Arial" w:eastAsiaTheme="minorEastAsia" w:hAnsi="Arial" w:cs="Arial"/>
              </w:rPr>
              <w:t>ponuđača</w:t>
            </w:r>
            <w:proofErr w:type="spellEnd"/>
          </w:p>
        </w:tc>
        <w:tc>
          <w:tcPr>
            <w:tcW w:w="1637" w:type="dxa"/>
            <w:tcBorders>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b/>
              </w:rPr>
            </w:pPr>
            <w:r w:rsidRPr="00AE5C99">
              <w:rPr>
                <w:rFonts w:ascii="Arial" w:eastAsiaTheme="minorEastAsia" w:hAnsi="Arial" w:cs="Arial"/>
                <w:b/>
              </w:rPr>
              <w:t>15</w:t>
            </w:r>
          </w:p>
        </w:tc>
      </w:tr>
      <w:tr w:rsidR="00AE5C99" w:rsidRPr="00AE5C99" w:rsidTr="009922B4">
        <w:trPr>
          <w:trHeight w:val="285"/>
        </w:trPr>
        <w:tc>
          <w:tcPr>
            <w:tcW w:w="656" w:type="dxa"/>
          </w:tcPr>
          <w:p w:rsidR="009F7737" w:rsidRPr="00AE5C99" w:rsidRDefault="009F7737" w:rsidP="00AE5C99">
            <w:pPr>
              <w:spacing w:after="0" w:line="240" w:lineRule="auto"/>
              <w:jc w:val="center"/>
              <w:rPr>
                <w:rFonts w:ascii="Arial" w:hAnsi="Arial" w:cs="Arial"/>
                <w:b/>
                <w:noProof/>
              </w:rPr>
            </w:pPr>
            <w:r w:rsidRPr="00AE5C99">
              <w:rPr>
                <w:rFonts w:ascii="Arial" w:hAnsi="Arial" w:cs="Arial"/>
                <w:b/>
                <w:noProof/>
              </w:rPr>
              <w:t>9.4</w:t>
            </w:r>
          </w:p>
        </w:tc>
        <w:tc>
          <w:tcPr>
            <w:tcW w:w="7283" w:type="dxa"/>
            <w:tcBorders>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rPr>
            </w:pPr>
            <w:proofErr w:type="spellStart"/>
            <w:r w:rsidRPr="00AE5C99">
              <w:rPr>
                <w:rFonts w:ascii="Arial" w:eastAsiaTheme="minorEastAsia" w:hAnsi="Arial" w:cs="Arial"/>
              </w:rPr>
              <w:t>Finansijski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aspekt</w:t>
            </w:r>
            <w:proofErr w:type="spellEnd"/>
            <w:r w:rsidRPr="00AE5C99">
              <w:rPr>
                <w:rFonts w:ascii="Arial" w:eastAsiaTheme="minorEastAsia" w:hAnsi="Arial" w:cs="Arial"/>
              </w:rPr>
              <w:t xml:space="preserve"> - </w:t>
            </w:r>
            <w:proofErr w:type="spellStart"/>
            <w:r w:rsidRPr="00AE5C99">
              <w:rPr>
                <w:rFonts w:ascii="Arial" w:eastAsiaTheme="minorEastAsia" w:hAnsi="Arial" w:cs="Arial"/>
              </w:rPr>
              <w:t>prosječni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bruto</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prihod</w:t>
            </w:r>
            <w:proofErr w:type="spellEnd"/>
            <w:r w:rsidRPr="00AE5C99">
              <w:rPr>
                <w:rFonts w:ascii="Arial" w:eastAsiaTheme="minorEastAsia" w:hAnsi="Arial" w:cs="Arial"/>
              </w:rPr>
              <w:t xml:space="preserve"> u </w:t>
            </w:r>
            <w:proofErr w:type="spellStart"/>
            <w:r w:rsidRPr="00AE5C99">
              <w:rPr>
                <w:rFonts w:ascii="Arial" w:eastAsiaTheme="minorEastAsia" w:hAnsi="Arial" w:cs="Arial"/>
              </w:rPr>
              <w:t>posljednje</w:t>
            </w:r>
            <w:proofErr w:type="spellEnd"/>
            <w:r w:rsidRPr="00AE5C99">
              <w:rPr>
                <w:rFonts w:ascii="Arial" w:eastAsiaTheme="minorEastAsia" w:hAnsi="Arial" w:cs="Arial"/>
              </w:rPr>
              <w:t xml:space="preserve"> tri </w:t>
            </w:r>
            <w:proofErr w:type="spellStart"/>
            <w:r w:rsidRPr="00AE5C99">
              <w:rPr>
                <w:rFonts w:ascii="Arial" w:eastAsiaTheme="minorEastAsia" w:hAnsi="Arial" w:cs="Arial"/>
              </w:rPr>
              <w:t>godine</w:t>
            </w:r>
            <w:proofErr w:type="spellEnd"/>
          </w:p>
        </w:tc>
        <w:tc>
          <w:tcPr>
            <w:tcW w:w="1637" w:type="dxa"/>
            <w:tcBorders>
              <w:left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b/>
              </w:rPr>
            </w:pPr>
            <w:r w:rsidRPr="00AE5C99">
              <w:rPr>
                <w:rFonts w:ascii="Arial" w:eastAsiaTheme="minorEastAsia" w:hAnsi="Arial" w:cs="Arial"/>
                <w:b/>
              </w:rPr>
              <w:t>10</w:t>
            </w:r>
          </w:p>
        </w:tc>
      </w:tr>
      <w:tr w:rsidR="00AE5C99" w:rsidRPr="00AE5C99" w:rsidTr="009922B4">
        <w:trPr>
          <w:trHeight w:val="257"/>
        </w:trPr>
        <w:tc>
          <w:tcPr>
            <w:tcW w:w="656" w:type="dxa"/>
          </w:tcPr>
          <w:p w:rsidR="009F7737" w:rsidRPr="00AE5C99" w:rsidRDefault="009F7737" w:rsidP="00AE5C99">
            <w:pPr>
              <w:spacing w:after="0" w:line="240" w:lineRule="auto"/>
              <w:jc w:val="center"/>
              <w:rPr>
                <w:rFonts w:ascii="Arial" w:hAnsi="Arial" w:cs="Arial"/>
                <w:b/>
                <w:noProof/>
              </w:rPr>
            </w:pPr>
            <w:r w:rsidRPr="00AE5C99">
              <w:rPr>
                <w:rFonts w:ascii="Arial" w:hAnsi="Arial" w:cs="Arial"/>
                <w:b/>
                <w:noProof/>
              </w:rPr>
              <w:t>9.5</w:t>
            </w:r>
          </w:p>
        </w:tc>
        <w:tc>
          <w:tcPr>
            <w:tcW w:w="7283" w:type="dxa"/>
            <w:tcBorders>
              <w:left w:val="single" w:sz="12" w:space="0" w:color="auto"/>
              <w:bottom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rPr>
            </w:pPr>
            <w:proofErr w:type="spellStart"/>
            <w:r w:rsidRPr="00AE5C99">
              <w:rPr>
                <w:rFonts w:ascii="Arial" w:eastAsiaTheme="minorEastAsia" w:hAnsi="Arial" w:cs="Arial"/>
              </w:rPr>
              <w:t>Kvalitet</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poslovnog</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plana</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efekti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na</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zapošljavanje</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ekonomski</w:t>
            </w:r>
            <w:proofErr w:type="spellEnd"/>
            <w:r w:rsidRPr="00AE5C99">
              <w:rPr>
                <w:rFonts w:ascii="Arial" w:eastAsiaTheme="minorEastAsia" w:hAnsi="Arial" w:cs="Arial"/>
              </w:rPr>
              <w:t xml:space="preserve"> </w:t>
            </w:r>
            <w:proofErr w:type="spellStart"/>
            <w:r w:rsidRPr="00AE5C99">
              <w:rPr>
                <w:rFonts w:ascii="Arial" w:eastAsiaTheme="minorEastAsia" w:hAnsi="Arial" w:cs="Arial"/>
              </w:rPr>
              <w:t>razvoj</w:t>
            </w:r>
            <w:proofErr w:type="spellEnd"/>
          </w:p>
        </w:tc>
        <w:tc>
          <w:tcPr>
            <w:tcW w:w="1637" w:type="dxa"/>
            <w:tcBorders>
              <w:left w:val="single" w:sz="12" w:space="0" w:color="auto"/>
              <w:bottom w:val="single" w:sz="12" w:space="0" w:color="auto"/>
              <w:right w:val="single" w:sz="12" w:space="0" w:color="auto"/>
            </w:tcBorders>
          </w:tcPr>
          <w:p w:rsidR="009F7737" w:rsidRPr="00AE5C99" w:rsidRDefault="009F7737" w:rsidP="00AE5C99">
            <w:pPr>
              <w:spacing w:after="0" w:line="240" w:lineRule="auto"/>
              <w:jc w:val="center"/>
              <w:rPr>
                <w:rFonts w:ascii="Arial" w:eastAsiaTheme="minorEastAsia" w:hAnsi="Arial" w:cs="Arial"/>
                <w:b/>
              </w:rPr>
            </w:pPr>
            <w:r w:rsidRPr="00AE5C99">
              <w:rPr>
                <w:rFonts w:ascii="Arial" w:eastAsiaTheme="minorEastAsia" w:hAnsi="Arial" w:cs="Arial"/>
                <w:b/>
              </w:rPr>
              <w:t>15</w:t>
            </w:r>
          </w:p>
        </w:tc>
      </w:tr>
    </w:tbl>
    <w:p w:rsidR="00715AF1" w:rsidRPr="00AE5C99" w:rsidRDefault="00715AF1" w:rsidP="00AE5C99">
      <w:pPr>
        <w:pStyle w:val="Heading2"/>
        <w:spacing w:before="0" w:after="0" w:line="240" w:lineRule="auto"/>
        <w:ind w:left="1080"/>
        <w:rPr>
          <w:i/>
          <w:noProof/>
          <w:lang w:val="sr-Latn-CS"/>
        </w:rPr>
      </w:pPr>
    </w:p>
    <w:p w:rsidR="00D620F2" w:rsidRPr="00AE5C99" w:rsidRDefault="00D620F2" w:rsidP="00AE5C99">
      <w:pPr>
        <w:pStyle w:val="Heading2"/>
        <w:numPr>
          <w:ilvl w:val="1"/>
          <w:numId w:val="18"/>
        </w:numPr>
        <w:spacing w:before="0" w:after="0" w:line="240" w:lineRule="auto"/>
        <w:rPr>
          <w:b/>
          <w:i/>
          <w:noProof/>
          <w:lang w:val="sr-Latn-CS"/>
        </w:rPr>
      </w:pPr>
      <w:r w:rsidRPr="00AE5C99">
        <w:rPr>
          <w:b/>
          <w:i/>
          <w:noProof/>
          <w:lang w:val="sr-Latn-CS"/>
        </w:rPr>
        <w:t>Ponuđeni procentualni iznos za obračun koncesione naknade</w:t>
      </w:r>
      <w:bookmarkEnd w:id="33"/>
      <w:bookmarkEnd w:id="34"/>
    </w:p>
    <w:p w:rsidR="00D021C0" w:rsidRPr="00AE5C99" w:rsidRDefault="00D021C0" w:rsidP="00AE5C99">
      <w:pPr>
        <w:spacing w:after="0" w:line="240" w:lineRule="auto"/>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b/>
          <w:noProof/>
          <w:lang w:val="sr-Latn-CS"/>
        </w:rPr>
        <w:t xml:space="preserve">Tačkom </w:t>
      </w:r>
      <w:r w:rsidR="00E21B44" w:rsidRPr="00AE5C99">
        <w:rPr>
          <w:rFonts w:ascii="Arial" w:hAnsi="Arial" w:cs="Arial"/>
          <w:b/>
          <w:noProof/>
          <w:lang w:val="sr-Latn-CS"/>
        </w:rPr>
        <w:t>8</w:t>
      </w:r>
      <w:r w:rsidRPr="00AE5C99">
        <w:rPr>
          <w:rFonts w:ascii="Arial" w:hAnsi="Arial" w:cs="Arial"/>
          <w:b/>
          <w:noProof/>
          <w:lang w:val="sr-Latn-CS"/>
        </w:rPr>
        <w:t>.1.2 Koncesionog akta – Pripadnost grupi ležišta</w:t>
      </w:r>
      <w:r w:rsidRPr="00AE5C99">
        <w:rPr>
          <w:rFonts w:ascii="Arial" w:hAnsi="Arial" w:cs="Arial"/>
          <w:noProof/>
          <w:lang w:val="sr-Latn-CS"/>
        </w:rPr>
        <w:t>, je definisano da se ležište tehničko-građevinskog</w:t>
      </w:r>
      <w:r w:rsidR="00D442AC" w:rsidRPr="00AE5C99">
        <w:rPr>
          <w:rFonts w:ascii="Arial" w:hAnsi="Arial" w:cs="Arial"/>
          <w:noProof/>
          <w:lang w:val="sr-Latn-CS"/>
        </w:rPr>
        <w:t xml:space="preserve"> kamena </w:t>
      </w:r>
      <w:r w:rsidR="00FE2072" w:rsidRPr="00AE5C99">
        <w:rPr>
          <w:rFonts w:ascii="Arial" w:hAnsi="Arial" w:cs="Arial"/>
          <w:noProof/>
          <w:lang w:val="sr-Latn-CS"/>
        </w:rPr>
        <w:t>„</w:t>
      </w:r>
      <w:r w:rsidR="001D297B" w:rsidRPr="00AE5C99">
        <w:rPr>
          <w:rFonts w:ascii="Arial" w:hAnsi="Arial" w:cs="Arial"/>
          <w:noProof/>
          <w:lang w:val="sr-Latn-CS"/>
        </w:rPr>
        <w:t>Velji Zabio”</w:t>
      </w:r>
      <w:r w:rsidRPr="00AE5C99">
        <w:rPr>
          <w:rFonts w:ascii="Arial" w:hAnsi="Arial" w:cs="Arial"/>
          <w:noProof/>
          <w:lang w:val="sr-Latn-CS"/>
        </w:rPr>
        <w:t>, na osnovu postojećih karakteristika i očekivanih uslova za eksploataciju, svrstava u treću grupu geogenih ležišta (G</w:t>
      </w:r>
      <w:r w:rsidRPr="00AE5C99">
        <w:rPr>
          <w:rFonts w:ascii="Arial" w:hAnsi="Arial" w:cs="Arial"/>
          <w:noProof/>
          <w:vertAlign w:val="subscript"/>
          <w:lang w:val="sr-Latn-CS"/>
        </w:rPr>
        <w:t>3</w:t>
      </w:r>
      <w:r w:rsidRPr="00AE5C99">
        <w:rPr>
          <w:rFonts w:ascii="Arial" w:hAnsi="Arial" w:cs="Arial"/>
          <w:noProof/>
          <w:lang w:val="sr-Latn-CS"/>
        </w:rPr>
        <w:t>).</w:t>
      </w:r>
    </w:p>
    <w:p w:rsidR="00D021C0" w:rsidRPr="00AE5C99" w:rsidRDefault="00D021C0" w:rsidP="00AE5C99">
      <w:pPr>
        <w:spacing w:after="0" w:line="240" w:lineRule="auto"/>
        <w:jc w:val="both"/>
        <w:rPr>
          <w:rFonts w:ascii="Arial" w:hAnsi="Arial" w:cs="Arial"/>
          <w:noProof/>
          <w:lang w:val="sr-Latn-CS"/>
        </w:rPr>
      </w:pPr>
    </w:p>
    <w:p w:rsidR="00787A0E"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AE5C99">
        <w:rPr>
          <w:rFonts w:ascii="Arial" w:hAnsi="Arial" w:cs="Arial"/>
          <w:b/>
          <w:noProof/>
          <w:lang w:val="sr-Latn-CS"/>
        </w:rPr>
        <w:t>7%</w:t>
      </w:r>
      <w:r w:rsidRPr="00AE5C99">
        <w:rPr>
          <w:rFonts w:ascii="Arial" w:hAnsi="Arial" w:cs="Arial"/>
          <w:noProof/>
          <w:lang w:val="sr-Latn-CS"/>
        </w:rPr>
        <w:t xml:space="preserve"> od tržišne vrijednosti bilansnih ili eksploatacionih rezervi tehničko-građevinskog kamena, odnosno, ukupnog tržišnog proizvoda, za koncesioni period za eksploataciju od </w:t>
      </w:r>
      <w:r w:rsidR="00FE2072" w:rsidRPr="00AE5C99">
        <w:rPr>
          <w:rFonts w:ascii="Arial" w:hAnsi="Arial" w:cs="Arial"/>
          <w:noProof/>
          <w:lang w:val="sr-Latn-CS"/>
        </w:rPr>
        <w:t>29</w:t>
      </w:r>
      <w:r w:rsidR="00A95535" w:rsidRPr="00AE5C99">
        <w:rPr>
          <w:rFonts w:ascii="Arial" w:hAnsi="Arial" w:cs="Arial"/>
          <w:noProof/>
          <w:lang w:val="sr-Latn-CS"/>
        </w:rPr>
        <w:t xml:space="preserve"> </w:t>
      </w:r>
      <w:r w:rsidRPr="00AE5C99">
        <w:rPr>
          <w:rFonts w:ascii="Arial" w:hAnsi="Arial" w:cs="Arial"/>
          <w:noProof/>
          <w:lang w:val="sr-Latn-CS"/>
        </w:rPr>
        <w:t>godin</w:t>
      </w:r>
      <w:r w:rsidR="00A95535" w:rsidRPr="00AE5C99">
        <w:rPr>
          <w:rFonts w:ascii="Arial" w:hAnsi="Arial" w:cs="Arial"/>
          <w:noProof/>
          <w:lang w:val="sr-Latn-CS"/>
        </w:rPr>
        <w:t>a</w:t>
      </w:r>
      <w:r w:rsidR="00C6688C" w:rsidRPr="00AE5C99">
        <w:rPr>
          <w:rFonts w:ascii="Arial" w:hAnsi="Arial" w:cs="Arial"/>
          <w:noProof/>
          <w:lang w:val="sr-Latn-CS"/>
        </w:rPr>
        <w:t>.</w:t>
      </w:r>
    </w:p>
    <w:p w:rsidR="00FE2072" w:rsidRPr="00AE5C99" w:rsidRDefault="00FE2072"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Ponuđači mogu ponuditi procentni iznos tržišne vrijednosti bilansnih ili eksploatacioni</w:t>
      </w:r>
      <w:r w:rsidR="00A95535" w:rsidRPr="00AE5C99">
        <w:rPr>
          <w:rFonts w:ascii="Arial" w:hAnsi="Arial" w:cs="Arial"/>
          <w:noProof/>
          <w:lang w:val="sr-Latn-CS"/>
        </w:rPr>
        <w:t>h rezervi tehničko-građevinskog</w:t>
      </w:r>
      <w:r w:rsidR="00B530BE" w:rsidRPr="00AE5C99">
        <w:rPr>
          <w:rFonts w:ascii="Arial" w:hAnsi="Arial" w:cs="Arial"/>
          <w:noProof/>
          <w:lang w:val="sr-Latn-CS"/>
        </w:rPr>
        <w:t xml:space="preserve"> kamena koji</w:t>
      </w:r>
      <w:r w:rsidRPr="00AE5C99">
        <w:rPr>
          <w:rFonts w:ascii="Arial" w:hAnsi="Arial" w:cs="Arial"/>
          <w:noProof/>
          <w:lang w:val="sr-Latn-CS"/>
        </w:rPr>
        <w:t xml:space="preserve"> je </w:t>
      </w:r>
      <w:r w:rsidR="00A8364D" w:rsidRPr="00AE5C99">
        <w:rPr>
          <w:rFonts w:ascii="Arial" w:hAnsi="Arial" w:cs="Arial"/>
          <w:noProof/>
          <w:lang w:val="sr-Latn-CS"/>
        </w:rPr>
        <w:t xml:space="preserve">jednak ili </w:t>
      </w:r>
      <w:r w:rsidRPr="00AE5C99">
        <w:rPr>
          <w:rFonts w:ascii="Arial" w:hAnsi="Arial" w:cs="Arial"/>
          <w:noProof/>
          <w:lang w:val="sr-Latn-CS"/>
        </w:rPr>
        <w:t>veći od 7%.</w:t>
      </w:r>
    </w:p>
    <w:p w:rsidR="00D021C0" w:rsidRPr="00AE5C99" w:rsidRDefault="00D021C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Ovaj kriterijum se izračunava na sljedeći način:</w:t>
      </w:r>
    </w:p>
    <w:p w:rsidR="00D021C0" w:rsidRPr="00AE5C99" w:rsidRDefault="00D021C0" w:rsidP="00AE5C99">
      <w:pPr>
        <w:spacing w:after="0" w:line="240" w:lineRule="auto"/>
        <w:jc w:val="both"/>
        <w:rPr>
          <w:rFonts w:ascii="Arial" w:hAnsi="Arial" w:cs="Arial"/>
          <w:noProof/>
          <w:lang w:val="sr-Latn-CS"/>
        </w:rPr>
      </w:pPr>
    </w:p>
    <w:p w:rsidR="00D620F2" w:rsidRPr="00AE5C99" w:rsidRDefault="006B2C3F" w:rsidP="00AE5C99">
      <w:pPr>
        <w:spacing w:after="0" w:line="240" w:lineRule="auto"/>
        <w:jc w:val="both"/>
        <w:rPr>
          <w:rFonts w:ascii="Arial" w:hAnsi="Arial" w:cs="Arial"/>
          <w:b/>
          <w:noProof/>
          <w:lang w:val="sr-Latn-CS"/>
        </w:rPr>
      </w:pPr>
      <w:r w:rsidRPr="00AE5C99">
        <w:rPr>
          <w:rFonts w:ascii="Arial" w:hAnsi="Arial" w:cs="Arial"/>
          <w:b/>
          <w:noProof/>
          <w:lang w:val="sr-Latn-CS"/>
        </w:rPr>
        <w:t>Kriterijum:</w:t>
      </w:r>
      <w:r w:rsidR="00FE2072" w:rsidRPr="00AE5C99">
        <w:rPr>
          <w:rFonts w:ascii="Arial" w:hAnsi="Arial" w:cs="Arial"/>
          <w:b/>
          <w:noProof/>
          <w:lang w:val="sr-Latn-CS"/>
        </w:rPr>
        <w:t xml:space="preserve"> P</w:t>
      </w:r>
      <w:r w:rsidR="00D620F2" w:rsidRPr="00AE5C99">
        <w:rPr>
          <w:rFonts w:ascii="Arial" w:hAnsi="Arial" w:cs="Arial"/>
          <w:b/>
          <w:noProof/>
          <w:lang w:val="sr-Latn-CS"/>
        </w:rPr>
        <w:t xml:space="preserve">% / MP% x </w:t>
      </w:r>
      <w:r w:rsidR="001D5363" w:rsidRPr="00AE5C99">
        <w:rPr>
          <w:rFonts w:ascii="Arial" w:hAnsi="Arial" w:cs="Arial"/>
          <w:b/>
          <w:noProof/>
          <w:lang w:val="sr-Latn-CS"/>
        </w:rPr>
        <w:t>4</w:t>
      </w:r>
      <w:r w:rsidR="009B1797" w:rsidRPr="00AE5C99">
        <w:rPr>
          <w:rFonts w:ascii="Arial" w:hAnsi="Arial" w:cs="Arial"/>
          <w:b/>
          <w:noProof/>
          <w:lang w:val="sr-Latn-CS"/>
        </w:rPr>
        <w:t>0</w:t>
      </w:r>
      <w:r w:rsidR="00D620F2" w:rsidRPr="00AE5C99">
        <w:rPr>
          <w:rFonts w:ascii="Arial" w:hAnsi="Arial" w:cs="Arial"/>
          <w:b/>
          <w:noProof/>
          <w:lang w:val="sr-Latn-CS"/>
        </w:rPr>
        <w:t>,</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gdje:</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 - označava % ponuđača</w:t>
      </w:r>
    </w:p>
    <w:p w:rsidR="00D620F2" w:rsidRPr="00AE5C99" w:rsidRDefault="00FE2072" w:rsidP="00AE5C99">
      <w:pPr>
        <w:spacing w:after="0" w:line="240" w:lineRule="auto"/>
        <w:jc w:val="both"/>
        <w:rPr>
          <w:rFonts w:ascii="Arial" w:hAnsi="Arial" w:cs="Arial"/>
          <w:noProof/>
          <w:lang w:val="sr-Latn-CS"/>
        </w:rPr>
      </w:pPr>
      <w:r w:rsidRPr="00AE5C99">
        <w:rPr>
          <w:rFonts w:ascii="Arial" w:hAnsi="Arial" w:cs="Arial"/>
          <w:noProof/>
          <w:lang w:val="sr-Latn-CS"/>
        </w:rPr>
        <w:t>MP</w:t>
      </w:r>
      <w:r w:rsidR="00B530BE" w:rsidRPr="00AE5C99">
        <w:rPr>
          <w:rFonts w:ascii="Arial" w:hAnsi="Arial" w:cs="Arial"/>
          <w:noProof/>
          <w:lang w:val="sr-Latn-CS"/>
        </w:rPr>
        <w:t>% - označava ma</w:t>
      </w:r>
      <w:r w:rsidR="00D620F2" w:rsidRPr="00AE5C99">
        <w:rPr>
          <w:rFonts w:ascii="Arial" w:hAnsi="Arial" w:cs="Arial"/>
          <w:noProof/>
          <w:lang w:val="sr-Latn-CS"/>
        </w:rPr>
        <w:t>k</w:t>
      </w:r>
      <w:r w:rsidR="00B530BE" w:rsidRPr="00AE5C99">
        <w:rPr>
          <w:rFonts w:ascii="Arial" w:hAnsi="Arial" w:cs="Arial"/>
          <w:noProof/>
          <w:lang w:val="sr-Latn-CS"/>
        </w:rPr>
        <w:t>s</w:t>
      </w:r>
      <w:r w:rsidR="00D620F2" w:rsidRPr="00AE5C99">
        <w:rPr>
          <w:rFonts w:ascii="Arial" w:hAnsi="Arial" w:cs="Arial"/>
          <w:noProof/>
          <w:lang w:val="sr-Latn-CS"/>
        </w:rPr>
        <w:t>imalno ponuđeni % na tenderu</w:t>
      </w:r>
    </w:p>
    <w:p w:rsidR="00D620F2" w:rsidRPr="00AE5C99" w:rsidRDefault="001D5363" w:rsidP="00AE5C99">
      <w:pPr>
        <w:spacing w:after="0" w:line="240" w:lineRule="auto"/>
        <w:jc w:val="both"/>
        <w:rPr>
          <w:rFonts w:ascii="Arial" w:hAnsi="Arial" w:cs="Arial"/>
          <w:noProof/>
          <w:lang w:val="sr-Latn-CS"/>
        </w:rPr>
      </w:pPr>
      <w:r w:rsidRPr="00AE5C99">
        <w:rPr>
          <w:rFonts w:ascii="Arial" w:hAnsi="Arial" w:cs="Arial"/>
          <w:b/>
          <w:noProof/>
          <w:lang w:val="sr-Latn-CS"/>
        </w:rPr>
        <w:t>4</w:t>
      </w:r>
      <w:r w:rsidR="009B1797" w:rsidRPr="00AE5C99">
        <w:rPr>
          <w:rFonts w:ascii="Arial" w:hAnsi="Arial" w:cs="Arial"/>
          <w:b/>
          <w:noProof/>
          <w:lang w:val="sr-Latn-CS"/>
        </w:rPr>
        <w:t>0</w:t>
      </w:r>
      <w:r w:rsidR="00D620F2" w:rsidRPr="00AE5C99">
        <w:rPr>
          <w:rFonts w:ascii="Arial" w:hAnsi="Arial" w:cs="Arial"/>
          <w:noProof/>
          <w:lang w:val="sr-Latn-CS"/>
        </w:rPr>
        <w:t xml:space="preserve"> – broj bodova za ovaj kriterijum </w:t>
      </w:r>
    </w:p>
    <w:p w:rsidR="00D021C0" w:rsidRPr="00AE5C99" w:rsidRDefault="00D021C0" w:rsidP="00AE5C99">
      <w:pPr>
        <w:spacing w:after="0" w:line="240" w:lineRule="auto"/>
        <w:jc w:val="both"/>
        <w:rPr>
          <w:rFonts w:ascii="Arial" w:hAnsi="Arial" w:cs="Arial"/>
          <w:noProof/>
          <w:lang w:val="sr-Latn-CS"/>
        </w:rPr>
      </w:pPr>
    </w:p>
    <w:p w:rsidR="00D620F2" w:rsidRPr="00AE5C99" w:rsidRDefault="00E21B44" w:rsidP="00AE5C99">
      <w:pPr>
        <w:pStyle w:val="Heading2"/>
        <w:numPr>
          <w:ilvl w:val="1"/>
          <w:numId w:val="0"/>
        </w:numPr>
        <w:spacing w:before="0" w:after="0" w:line="240" w:lineRule="auto"/>
        <w:ind w:left="576" w:hanging="576"/>
        <w:rPr>
          <w:b/>
          <w:i/>
          <w:noProof/>
          <w:lang w:val="sr-Latn-CS"/>
        </w:rPr>
      </w:pPr>
      <w:bookmarkStart w:id="35" w:name="_Toc390549917"/>
      <w:bookmarkStart w:id="36" w:name="_Toc402262963"/>
      <w:r w:rsidRPr="00AE5C99">
        <w:rPr>
          <w:b/>
          <w:i/>
          <w:noProof/>
          <w:lang w:val="sr-Latn-CS"/>
        </w:rPr>
        <w:t>9</w:t>
      </w:r>
      <w:r w:rsidR="00D620F2" w:rsidRPr="00AE5C99">
        <w:rPr>
          <w:b/>
          <w:i/>
          <w:noProof/>
          <w:lang w:val="sr-Latn-CS"/>
        </w:rPr>
        <w:t>.2</w:t>
      </w:r>
      <w:r w:rsidR="0064798C" w:rsidRPr="00AE5C99">
        <w:rPr>
          <w:b/>
          <w:i/>
          <w:noProof/>
          <w:lang w:val="sr-Latn-CS"/>
        </w:rPr>
        <w:t>.</w:t>
      </w:r>
      <w:r w:rsidR="00D620F2" w:rsidRPr="00AE5C99">
        <w:rPr>
          <w:b/>
          <w:i/>
          <w:noProof/>
          <w:lang w:val="sr-Latn-CS"/>
        </w:rPr>
        <w:t xml:space="preserve"> Ponuđeni ukupni obim rudarske proizvodnje</w:t>
      </w:r>
      <w:bookmarkEnd w:id="35"/>
      <w:bookmarkEnd w:id="36"/>
    </w:p>
    <w:p w:rsidR="00D021C0" w:rsidRPr="00AE5C99" w:rsidRDefault="00D021C0" w:rsidP="00AE5C99">
      <w:pPr>
        <w:spacing w:after="0" w:line="240" w:lineRule="auto"/>
        <w:jc w:val="both"/>
        <w:rPr>
          <w:rFonts w:ascii="Arial" w:hAnsi="Arial" w:cs="Arial"/>
          <w:b/>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b/>
          <w:noProof/>
          <w:lang w:val="sr-Latn-CS"/>
        </w:rPr>
        <w:t xml:space="preserve">Tačkom </w:t>
      </w:r>
      <w:r w:rsidR="00544A09" w:rsidRPr="00AE5C99">
        <w:rPr>
          <w:rFonts w:ascii="Arial" w:hAnsi="Arial" w:cs="Arial"/>
          <w:b/>
          <w:noProof/>
          <w:lang w:val="sr-Latn-CS"/>
        </w:rPr>
        <w:t>8</w:t>
      </w:r>
      <w:r w:rsidRPr="00AE5C99">
        <w:rPr>
          <w:rFonts w:ascii="Arial" w:hAnsi="Arial" w:cs="Arial"/>
          <w:b/>
          <w:noProof/>
          <w:lang w:val="sr-Latn-CS"/>
        </w:rPr>
        <w:t>.1.1 Koncesionog akta - Rezerv</w:t>
      </w:r>
      <w:r w:rsidR="00126DB1" w:rsidRPr="00AE5C99">
        <w:rPr>
          <w:rFonts w:ascii="Arial" w:hAnsi="Arial" w:cs="Arial"/>
          <w:b/>
          <w:noProof/>
          <w:lang w:val="sr-Latn-CS"/>
        </w:rPr>
        <w:t>e</w:t>
      </w:r>
      <w:r w:rsidRPr="00AE5C99">
        <w:rPr>
          <w:rFonts w:ascii="Arial" w:hAnsi="Arial" w:cs="Arial"/>
          <w:b/>
          <w:noProof/>
          <w:lang w:val="sr-Latn-CS"/>
        </w:rPr>
        <w:t xml:space="preserve"> mineralne sirovine</w:t>
      </w:r>
      <w:r w:rsidRPr="00AE5C99">
        <w:rPr>
          <w:rFonts w:ascii="Arial" w:hAnsi="Arial" w:cs="Arial"/>
          <w:noProof/>
          <w:lang w:val="sr-Latn-CS"/>
        </w:rPr>
        <w:t xml:space="preserve">, </w:t>
      </w:r>
      <w:r w:rsidR="001C5391" w:rsidRPr="00AE5C99">
        <w:rPr>
          <w:rFonts w:ascii="Arial" w:hAnsi="Arial" w:cs="Arial"/>
          <w:noProof/>
          <w:lang w:val="sr-Latn-CS"/>
        </w:rPr>
        <w:t>Bilansne rezerve tehničko-građevinskog kamena na ležištu „Velji Zabio” iznose 7.415.500 m</w:t>
      </w:r>
      <w:r w:rsidR="001C5391" w:rsidRPr="00AE5C99">
        <w:rPr>
          <w:rFonts w:ascii="Arial" w:hAnsi="Arial" w:cs="Arial"/>
          <w:noProof/>
          <w:vertAlign w:val="superscript"/>
          <w:lang w:val="sr-Latn-CS"/>
        </w:rPr>
        <w:t>3</w:t>
      </w:r>
      <w:r w:rsidR="001C5391" w:rsidRPr="00AE5C99">
        <w:rPr>
          <w:rFonts w:ascii="Arial" w:hAnsi="Arial" w:cs="Arial"/>
          <w:noProof/>
          <w:lang w:val="sr-Latn-CS"/>
        </w:rPr>
        <w:t xml:space="preserve"> č.s.m.</w:t>
      </w:r>
      <w:r w:rsidR="00CF4CDA" w:rsidRPr="00AE5C99">
        <w:rPr>
          <w:rFonts w:ascii="Arial" w:hAnsi="Arial" w:cs="Arial"/>
          <w:noProof/>
          <w:lang w:val="sr-Latn-CS"/>
        </w:rPr>
        <w:t xml:space="preserve"> (Elaborat o klasifikaciji, kategorizaciji i proračunu rezervi tehničko-građevinskog kamena ležišta „Velji Zabio” kod Bara, sa stanjem rezervi 31.12.2010. godine).</w:t>
      </w:r>
      <w:r w:rsidRPr="00AE5C99">
        <w:rPr>
          <w:rFonts w:ascii="Arial" w:hAnsi="Arial" w:cs="Arial"/>
          <w:noProof/>
          <w:lang w:val="sr-Latn-CS"/>
        </w:rPr>
        <w:t xml:space="preserve"> Prema minimalnom godišnjem kapacitetu od 20.000 m</w:t>
      </w:r>
      <w:r w:rsidRPr="00AE5C99">
        <w:rPr>
          <w:rFonts w:ascii="Arial" w:hAnsi="Arial" w:cs="Arial"/>
          <w:noProof/>
          <w:vertAlign w:val="superscript"/>
          <w:lang w:val="sr-Latn-CS"/>
        </w:rPr>
        <w:t>3</w:t>
      </w:r>
      <w:r w:rsidRPr="00AE5C99">
        <w:rPr>
          <w:rFonts w:ascii="Arial" w:hAnsi="Arial" w:cs="Arial"/>
          <w:noProof/>
          <w:lang w:val="sr-Latn-CS"/>
        </w:rPr>
        <w:t xml:space="preserve"> č.s.m. tehničko-gra</w:t>
      </w:r>
      <w:r w:rsidR="00D442AC" w:rsidRPr="00AE5C99">
        <w:rPr>
          <w:rFonts w:ascii="Arial" w:hAnsi="Arial" w:cs="Arial"/>
          <w:noProof/>
          <w:lang w:val="sr-Latn-CS"/>
        </w:rPr>
        <w:t xml:space="preserve">đevinskog kamena, za period od </w:t>
      </w:r>
      <w:r w:rsidR="00FE2072" w:rsidRPr="00AE5C99">
        <w:rPr>
          <w:rFonts w:ascii="Arial" w:hAnsi="Arial" w:cs="Arial"/>
          <w:noProof/>
          <w:lang w:val="sr-Latn-CS"/>
        </w:rPr>
        <w:t>29</w:t>
      </w:r>
      <w:r w:rsidRPr="00AE5C99">
        <w:rPr>
          <w:rFonts w:ascii="Arial" w:hAnsi="Arial" w:cs="Arial"/>
          <w:noProof/>
          <w:lang w:val="sr-Latn-CS"/>
        </w:rPr>
        <w:t xml:space="preserve"> godin</w:t>
      </w:r>
      <w:r w:rsidR="00A95535" w:rsidRPr="00AE5C99">
        <w:rPr>
          <w:rFonts w:ascii="Arial" w:hAnsi="Arial" w:cs="Arial"/>
          <w:noProof/>
          <w:lang w:val="sr-Latn-CS"/>
        </w:rPr>
        <w:t>a</w:t>
      </w:r>
      <w:r w:rsidRPr="00AE5C99">
        <w:rPr>
          <w:rFonts w:ascii="Arial" w:hAnsi="Arial" w:cs="Arial"/>
          <w:noProof/>
          <w:lang w:val="sr-Latn-CS"/>
        </w:rPr>
        <w:t xml:space="preserve"> (period koncesije za</w:t>
      </w:r>
      <w:r w:rsidR="00D442AC" w:rsidRPr="00AE5C99">
        <w:rPr>
          <w:rFonts w:ascii="Arial" w:hAnsi="Arial" w:cs="Arial"/>
          <w:noProof/>
          <w:lang w:val="sr-Latn-CS"/>
        </w:rPr>
        <w:t xml:space="preserve"> eksploataciju) otkopalo bi se </w:t>
      </w:r>
      <w:r w:rsidR="00FE2072" w:rsidRPr="00AE5C99">
        <w:rPr>
          <w:rFonts w:ascii="Arial" w:hAnsi="Arial" w:cs="Arial"/>
          <w:noProof/>
          <w:lang w:val="sr-Latn-CS"/>
        </w:rPr>
        <w:t>58</w:t>
      </w:r>
      <w:r w:rsidR="00A95535" w:rsidRPr="00AE5C99">
        <w:rPr>
          <w:rFonts w:ascii="Arial" w:hAnsi="Arial" w:cs="Arial"/>
          <w:noProof/>
          <w:lang w:val="sr-Latn-CS"/>
        </w:rPr>
        <w:t>0</w:t>
      </w:r>
      <w:r w:rsidRPr="00AE5C99">
        <w:rPr>
          <w:rFonts w:ascii="Arial" w:hAnsi="Arial" w:cs="Arial"/>
          <w:noProof/>
          <w:lang w:val="sr-Latn-CS"/>
        </w:rPr>
        <w:t>.000 m</w:t>
      </w:r>
      <w:r w:rsidRPr="00AE5C99">
        <w:rPr>
          <w:rFonts w:ascii="Arial" w:hAnsi="Arial" w:cs="Arial"/>
          <w:noProof/>
          <w:vertAlign w:val="superscript"/>
          <w:lang w:val="sr-Latn-CS"/>
        </w:rPr>
        <w:t>3</w:t>
      </w:r>
      <w:r w:rsidRPr="00AE5C99">
        <w:rPr>
          <w:rFonts w:ascii="Arial" w:hAnsi="Arial" w:cs="Arial"/>
          <w:noProof/>
          <w:lang w:val="sr-Latn-CS"/>
        </w:rPr>
        <w:t xml:space="preserve"> č.s.m tehničko-građevinskog kamena. Od 20.000 m</w:t>
      </w:r>
      <w:r w:rsidRPr="00AE5C99">
        <w:rPr>
          <w:rFonts w:ascii="Arial" w:hAnsi="Arial" w:cs="Arial"/>
          <w:noProof/>
          <w:vertAlign w:val="superscript"/>
          <w:lang w:val="sr-Latn-CS"/>
        </w:rPr>
        <w:t>3</w:t>
      </w:r>
      <w:r w:rsidRPr="00AE5C99">
        <w:rPr>
          <w:rFonts w:ascii="Arial" w:hAnsi="Arial" w:cs="Arial"/>
          <w:noProof/>
          <w:lang w:val="sr-Latn-CS"/>
        </w:rPr>
        <w:t xml:space="preserve"> č.s.m. na godišnjem nivou</w:t>
      </w:r>
      <w:r w:rsidR="00A95535" w:rsidRPr="00AE5C99">
        <w:rPr>
          <w:rFonts w:ascii="Arial" w:hAnsi="Arial" w:cs="Arial"/>
          <w:noProof/>
          <w:lang w:val="sr-Latn-CS"/>
        </w:rPr>
        <w:t>,</w:t>
      </w:r>
      <w:r w:rsidRPr="00AE5C99">
        <w:rPr>
          <w:rFonts w:ascii="Arial" w:hAnsi="Arial" w:cs="Arial"/>
          <w:noProof/>
          <w:lang w:val="sr-Latn-CS"/>
        </w:rPr>
        <w:t xml:space="preserve"> u procesu dalje obrade sirovine dobilo bi </w:t>
      </w:r>
      <w:r w:rsidRPr="00AE5C99">
        <w:rPr>
          <w:rFonts w:ascii="Arial" w:hAnsi="Arial" w:cs="Arial"/>
          <w:noProof/>
          <w:lang w:val="sr-Latn-CS"/>
        </w:rPr>
        <w:lastRenderedPageBreak/>
        <w:t>se 30.000 m</w:t>
      </w:r>
      <w:r w:rsidRPr="00AE5C99">
        <w:rPr>
          <w:rFonts w:ascii="Arial" w:hAnsi="Arial" w:cs="Arial"/>
          <w:noProof/>
          <w:vertAlign w:val="superscript"/>
          <w:lang w:val="sr-Latn-CS"/>
        </w:rPr>
        <w:t>3</w:t>
      </w:r>
      <w:r w:rsidRPr="00AE5C99">
        <w:rPr>
          <w:rFonts w:ascii="Arial" w:hAnsi="Arial" w:cs="Arial"/>
          <w:noProof/>
          <w:lang w:val="sr-Latn-CS"/>
        </w:rPr>
        <w:t xml:space="preserve"> agregata različitih</w:t>
      </w:r>
      <w:r w:rsidR="00D442AC" w:rsidRPr="00AE5C99">
        <w:rPr>
          <w:rFonts w:ascii="Arial" w:hAnsi="Arial" w:cs="Arial"/>
          <w:noProof/>
          <w:lang w:val="sr-Latn-CS"/>
        </w:rPr>
        <w:t xml:space="preserve"> frakcija, što bi za period od </w:t>
      </w:r>
      <w:r w:rsidR="00FE2072" w:rsidRPr="00AE5C99">
        <w:rPr>
          <w:rFonts w:ascii="Arial" w:hAnsi="Arial" w:cs="Arial"/>
          <w:noProof/>
          <w:lang w:val="sr-Latn-CS"/>
        </w:rPr>
        <w:t>29</w:t>
      </w:r>
      <w:r w:rsidR="00D442AC" w:rsidRPr="00AE5C99">
        <w:rPr>
          <w:rFonts w:ascii="Arial" w:hAnsi="Arial" w:cs="Arial"/>
          <w:noProof/>
          <w:lang w:val="sr-Latn-CS"/>
        </w:rPr>
        <w:t xml:space="preserve"> godin</w:t>
      </w:r>
      <w:r w:rsidR="00A95535" w:rsidRPr="00AE5C99">
        <w:rPr>
          <w:rFonts w:ascii="Arial" w:hAnsi="Arial" w:cs="Arial"/>
          <w:noProof/>
          <w:lang w:val="sr-Latn-CS"/>
        </w:rPr>
        <w:t>a</w:t>
      </w:r>
      <w:r w:rsidR="00D442AC" w:rsidRPr="00AE5C99">
        <w:rPr>
          <w:rFonts w:ascii="Arial" w:hAnsi="Arial" w:cs="Arial"/>
          <w:noProof/>
          <w:lang w:val="sr-Latn-CS"/>
        </w:rPr>
        <w:t xml:space="preserve"> iznosilo </w:t>
      </w:r>
      <w:r w:rsidR="00FE2072" w:rsidRPr="00AE5C99">
        <w:rPr>
          <w:rFonts w:ascii="Arial" w:hAnsi="Arial" w:cs="Arial"/>
          <w:noProof/>
          <w:lang w:val="sr-Latn-CS"/>
        </w:rPr>
        <w:t>87</w:t>
      </w:r>
      <w:r w:rsidR="00A95535" w:rsidRPr="00AE5C99">
        <w:rPr>
          <w:rFonts w:ascii="Arial" w:hAnsi="Arial" w:cs="Arial"/>
          <w:noProof/>
          <w:lang w:val="sr-Latn-CS"/>
        </w:rPr>
        <w:t>0</w:t>
      </w:r>
      <w:r w:rsidRPr="00AE5C99">
        <w:rPr>
          <w:rFonts w:ascii="Arial" w:hAnsi="Arial" w:cs="Arial"/>
          <w:noProof/>
          <w:lang w:val="sr-Latn-CS"/>
        </w:rPr>
        <w:t>.000 m</w:t>
      </w:r>
      <w:r w:rsidRPr="00AE5C99">
        <w:rPr>
          <w:rFonts w:ascii="Arial" w:hAnsi="Arial" w:cs="Arial"/>
          <w:noProof/>
          <w:vertAlign w:val="superscript"/>
          <w:lang w:val="sr-Latn-CS"/>
        </w:rPr>
        <w:t>3</w:t>
      </w:r>
      <w:r w:rsidRPr="00AE5C99">
        <w:rPr>
          <w:rFonts w:ascii="Arial" w:hAnsi="Arial" w:cs="Arial"/>
          <w:noProof/>
          <w:lang w:val="sr-Latn-CS"/>
        </w:rPr>
        <w:t xml:space="preserve"> tržišnog proizvoda.</w:t>
      </w:r>
    </w:p>
    <w:p w:rsidR="001C5391" w:rsidRPr="00AE5C99" w:rsidRDefault="001C5391"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Ponuđači mogu ponuditi obim godišnje rudarske proizvodnje koji je jednak ili veći od 20.000 m</w:t>
      </w:r>
      <w:r w:rsidRPr="00AE5C99">
        <w:rPr>
          <w:rFonts w:ascii="Arial" w:hAnsi="Arial" w:cs="Arial"/>
          <w:noProof/>
          <w:vertAlign w:val="superscript"/>
          <w:lang w:val="sr-Latn-CS"/>
        </w:rPr>
        <w:t>3</w:t>
      </w:r>
      <w:r w:rsidRPr="00AE5C99">
        <w:rPr>
          <w:rFonts w:ascii="Arial" w:hAnsi="Arial" w:cs="Arial"/>
          <w:noProof/>
          <w:lang w:val="sr-Latn-CS"/>
        </w:rPr>
        <w:t xml:space="preserve"> č.s.m. </w:t>
      </w:r>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bookmarkStart w:id="37" w:name="_Toc390549918"/>
      <w:r w:rsidRPr="00AE5C99">
        <w:rPr>
          <w:rFonts w:ascii="Arial" w:hAnsi="Arial" w:cs="Arial"/>
          <w:noProof/>
          <w:lang w:val="sr-Latn-CS"/>
        </w:rPr>
        <w:t>Ovaj kriterijum se izračunava na sljedeći način:</w:t>
      </w:r>
    </w:p>
    <w:p w:rsidR="00D021C0" w:rsidRPr="00AE5C99" w:rsidRDefault="00D021C0" w:rsidP="00AE5C99">
      <w:pPr>
        <w:spacing w:after="0" w:line="240" w:lineRule="auto"/>
        <w:jc w:val="both"/>
        <w:rPr>
          <w:rFonts w:ascii="Arial" w:hAnsi="Arial" w:cs="Arial"/>
          <w:noProof/>
          <w:lang w:val="sr-Latn-CS"/>
        </w:rPr>
      </w:pPr>
    </w:p>
    <w:p w:rsidR="00D620F2" w:rsidRPr="00AE5C99" w:rsidRDefault="0064798C" w:rsidP="00AE5C99">
      <w:pPr>
        <w:spacing w:after="0" w:line="240" w:lineRule="auto"/>
        <w:rPr>
          <w:rFonts w:ascii="Arial" w:hAnsi="Arial" w:cs="Arial"/>
          <w:b/>
          <w:bCs/>
          <w:noProof/>
          <w:lang w:val="sr-Latn-CS"/>
        </w:rPr>
      </w:pPr>
      <w:r w:rsidRPr="00AE5C99">
        <w:rPr>
          <w:rFonts w:ascii="Arial" w:hAnsi="Arial" w:cs="Arial"/>
          <w:b/>
          <w:bCs/>
          <w:noProof/>
          <w:lang w:val="sr-Latn-CS"/>
        </w:rPr>
        <w:t xml:space="preserve">Kriterijum: </w:t>
      </w:r>
      <w:r w:rsidR="00D620F2" w:rsidRPr="00AE5C99">
        <w:rPr>
          <w:rFonts w:ascii="Arial" w:hAnsi="Arial" w:cs="Arial"/>
          <w:b/>
          <w:bCs/>
          <w:noProof/>
          <w:lang w:val="sr-Latn-CS"/>
        </w:rPr>
        <w:t xml:space="preserve">PGP/MPGP x </w:t>
      </w:r>
      <w:r w:rsidR="001D5363" w:rsidRPr="00AE5C99">
        <w:rPr>
          <w:rFonts w:ascii="Arial" w:hAnsi="Arial" w:cs="Arial"/>
          <w:b/>
          <w:bCs/>
          <w:noProof/>
          <w:lang w:val="sr-Latn-CS"/>
        </w:rPr>
        <w:t>2</w:t>
      </w:r>
      <w:r w:rsidR="006B2C3F" w:rsidRPr="00AE5C99">
        <w:rPr>
          <w:rFonts w:ascii="Arial" w:hAnsi="Arial" w:cs="Arial"/>
          <w:b/>
          <w:bCs/>
          <w:noProof/>
          <w:lang w:val="sr-Latn-CS"/>
        </w:rPr>
        <w:t>0</w:t>
      </w:r>
      <w:r w:rsidR="00D620F2" w:rsidRPr="00AE5C99">
        <w:rPr>
          <w:rFonts w:ascii="Arial" w:hAnsi="Arial" w:cs="Arial"/>
          <w:b/>
          <w:bCs/>
          <w:noProof/>
          <w:lang w:val="sr-Latn-CS"/>
        </w:rPr>
        <w:t>,</w:t>
      </w:r>
    </w:p>
    <w:p w:rsidR="00D620F2" w:rsidRPr="00AE5C99" w:rsidRDefault="00D620F2" w:rsidP="00AE5C99">
      <w:pPr>
        <w:spacing w:after="0" w:line="240" w:lineRule="auto"/>
        <w:rPr>
          <w:rFonts w:ascii="Arial" w:hAnsi="Arial" w:cs="Arial"/>
          <w:bCs/>
          <w:noProof/>
          <w:lang w:val="sr-Latn-CS"/>
        </w:rPr>
      </w:pPr>
      <w:r w:rsidRPr="00AE5C99">
        <w:rPr>
          <w:rFonts w:ascii="Arial" w:hAnsi="Arial" w:cs="Arial"/>
          <w:bCs/>
          <w:noProof/>
          <w:lang w:val="sr-Latn-CS"/>
        </w:rPr>
        <w:t>gdje:</w:t>
      </w:r>
    </w:p>
    <w:p w:rsidR="00A700A0" w:rsidRPr="00AE5C99" w:rsidRDefault="00A700A0" w:rsidP="00AE5C99">
      <w:pPr>
        <w:spacing w:after="0" w:line="240" w:lineRule="auto"/>
        <w:rPr>
          <w:rFonts w:ascii="Arial" w:hAnsi="Arial" w:cs="Arial"/>
          <w:bCs/>
          <w:noProof/>
          <w:lang w:val="sr-Latn-CS"/>
        </w:rPr>
      </w:pPr>
    </w:p>
    <w:p w:rsidR="00D620F2" w:rsidRPr="00AE5C99" w:rsidRDefault="00D620F2" w:rsidP="00AE5C99">
      <w:pPr>
        <w:spacing w:after="0" w:line="240" w:lineRule="auto"/>
        <w:rPr>
          <w:rFonts w:ascii="Arial" w:hAnsi="Arial" w:cs="Arial"/>
          <w:bCs/>
          <w:noProof/>
          <w:lang w:val="sr-Latn-CS"/>
        </w:rPr>
      </w:pPr>
      <w:r w:rsidRPr="00AE5C99">
        <w:rPr>
          <w:rFonts w:ascii="Arial" w:hAnsi="Arial" w:cs="Arial"/>
          <w:bCs/>
          <w:noProof/>
          <w:lang w:val="sr-Latn-CS"/>
        </w:rPr>
        <w:t>PGP - označava ponuđenu godišnju proizvodnju</w:t>
      </w:r>
    </w:p>
    <w:p w:rsidR="00D620F2" w:rsidRPr="00AE5C99" w:rsidRDefault="00D620F2" w:rsidP="00AE5C99">
      <w:pPr>
        <w:spacing w:after="0" w:line="240" w:lineRule="auto"/>
        <w:rPr>
          <w:rFonts w:ascii="Arial" w:hAnsi="Arial" w:cs="Arial"/>
          <w:bCs/>
          <w:noProof/>
          <w:lang w:val="sr-Latn-CS"/>
        </w:rPr>
      </w:pPr>
      <w:r w:rsidRPr="00AE5C99">
        <w:rPr>
          <w:rFonts w:ascii="Arial" w:hAnsi="Arial" w:cs="Arial"/>
          <w:bCs/>
          <w:noProof/>
          <w:lang w:val="sr-Latn-CS"/>
        </w:rPr>
        <w:t xml:space="preserve">MPGP </w:t>
      </w:r>
      <w:r w:rsidR="00B530BE" w:rsidRPr="00AE5C99">
        <w:rPr>
          <w:rFonts w:ascii="Arial" w:hAnsi="Arial" w:cs="Arial"/>
          <w:bCs/>
          <w:noProof/>
          <w:lang w:val="sr-Latn-CS"/>
        </w:rPr>
        <w:t>- označava ma</w:t>
      </w:r>
      <w:r w:rsidR="00145A24" w:rsidRPr="00AE5C99">
        <w:rPr>
          <w:rFonts w:ascii="Arial" w:hAnsi="Arial" w:cs="Arial"/>
          <w:bCs/>
          <w:noProof/>
          <w:lang w:val="sr-Latn-CS"/>
        </w:rPr>
        <w:t>k</w:t>
      </w:r>
      <w:r w:rsidR="00B530BE" w:rsidRPr="00AE5C99">
        <w:rPr>
          <w:rFonts w:ascii="Arial" w:hAnsi="Arial" w:cs="Arial"/>
          <w:bCs/>
          <w:noProof/>
          <w:lang w:val="sr-Latn-CS"/>
        </w:rPr>
        <w:t>s</w:t>
      </w:r>
      <w:r w:rsidR="00145A24" w:rsidRPr="00AE5C99">
        <w:rPr>
          <w:rFonts w:ascii="Arial" w:hAnsi="Arial" w:cs="Arial"/>
          <w:bCs/>
          <w:noProof/>
          <w:lang w:val="sr-Latn-CS"/>
        </w:rPr>
        <w:t xml:space="preserve">imalno ponuđenu </w:t>
      </w:r>
      <w:r w:rsidRPr="00AE5C99">
        <w:rPr>
          <w:rFonts w:ascii="Arial" w:hAnsi="Arial" w:cs="Arial"/>
          <w:bCs/>
          <w:noProof/>
          <w:lang w:val="sr-Latn-CS"/>
        </w:rPr>
        <w:t>godišnju proizvodnju pon</w:t>
      </w:r>
      <w:r w:rsidR="00145A24" w:rsidRPr="00AE5C99">
        <w:rPr>
          <w:rFonts w:ascii="Arial" w:hAnsi="Arial" w:cs="Arial"/>
          <w:bCs/>
          <w:noProof/>
          <w:lang w:val="sr-Latn-CS"/>
        </w:rPr>
        <w:t xml:space="preserve">uđenu </w:t>
      </w:r>
      <w:r w:rsidRPr="00AE5C99">
        <w:rPr>
          <w:rFonts w:ascii="Arial" w:hAnsi="Arial" w:cs="Arial"/>
          <w:bCs/>
          <w:noProof/>
          <w:lang w:val="sr-Latn-CS"/>
        </w:rPr>
        <w:t>na tenderu</w:t>
      </w:r>
    </w:p>
    <w:p w:rsidR="00F92896" w:rsidRPr="00AE5C99" w:rsidRDefault="001D5363" w:rsidP="00AE5C99">
      <w:pPr>
        <w:spacing w:after="0" w:line="240" w:lineRule="auto"/>
        <w:rPr>
          <w:rFonts w:ascii="Arial" w:hAnsi="Arial" w:cs="Arial"/>
          <w:bCs/>
          <w:noProof/>
          <w:lang w:val="sr-Latn-CS"/>
        </w:rPr>
      </w:pPr>
      <w:r w:rsidRPr="00AE5C99">
        <w:rPr>
          <w:rFonts w:ascii="Arial" w:hAnsi="Arial" w:cs="Arial"/>
          <w:b/>
          <w:bCs/>
          <w:noProof/>
          <w:lang w:val="sr-Latn-CS"/>
        </w:rPr>
        <w:t>2</w:t>
      </w:r>
      <w:r w:rsidR="006B2C3F" w:rsidRPr="00AE5C99">
        <w:rPr>
          <w:rFonts w:ascii="Arial" w:hAnsi="Arial" w:cs="Arial"/>
          <w:b/>
          <w:bCs/>
          <w:noProof/>
          <w:lang w:val="sr-Latn-CS"/>
        </w:rPr>
        <w:t>0</w:t>
      </w:r>
      <w:r w:rsidR="00D620F2" w:rsidRPr="00AE5C99">
        <w:rPr>
          <w:rFonts w:ascii="Arial" w:hAnsi="Arial" w:cs="Arial"/>
          <w:bCs/>
          <w:noProof/>
          <w:lang w:val="sr-Latn-CS"/>
        </w:rPr>
        <w:t xml:space="preserve"> – broj bodova za ovaj kriterijum</w:t>
      </w:r>
    </w:p>
    <w:p w:rsidR="00D021C0" w:rsidRPr="00AE5C99" w:rsidRDefault="00D021C0" w:rsidP="00AE5C99">
      <w:pPr>
        <w:spacing w:after="0" w:line="240" w:lineRule="auto"/>
        <w:rPr>
          <w:rFonts w:ascii="Arial" w:hAnsi="Arial" w:cs="Arial"/>
          <w:bCs/>
          <w:noProof/>
          <w:lang w:val="sr-Latn-CS"/>
        </w:rPr>
      </w:pPr>
    </w:p>
    <w:p w:rsidR="00D620F2" w:rsidRPr="00AE5C99" w:rsidRDefault="00E21B44" w:rsidP="00AE5C99">
      <w:pPr>
        <w:pStyle w:val="Heading2"/>
        <w:numPr>
          <w:ilvl w:val="1"/>
          <w:numId w:val="0"/>
        </w:numPr>
        <w:spacing w:before="0" w:after="0" w:line="240" w:lineRule="auto"/>
        <w:rPr>
          <w:b/>
          <w:i/>
          <w:noProof/>
          <w:lang w:val="sr-Latn-CS"/>
        </w:rPr>
      </w:pPr>
      <w:bookmarkStart w:id="38" w:name="_Toc401751594"/>
      <w:bookmarkStart w:id="39" w:name="_Toc401849820"/>
      <w:bookmarkStart w:id="40" w:name="_Toc402262965"/>
      <w:bookmarkEnd w:id="37"/>
      <w:r w:rsidRPr="00AE5C99">
        <w:rPr>
          <w:b/>
          <w:i/>
          <w:noProof/>
          <w:lang w:val="sr-Latn-CS"/>
        </w:rPr>
        <w:t>9</w:t>
      </w:r>
      <w:r w:rsidR="00F92896" w:rsidRPr="00AE5C99">
        <w:rPr>
          <w:b/>
          <w:i/>
          <w:noProof/>
          <w:lang w:val="sr-Latn-CS"/>
        </w:rPr>
        <w:t>.</w:t>
      </w:r>
      <w:r w:rsidR="005F6969" w:rsidRPr="00AE5C99">
        <w:rPr>
          <w:b/>
          <w:i/>
          <w:noProof/>
          <w:lang w:val="sr-Latn-CS"/>
        </w:rPr>
        <w:t>3</w:t>
      </w:r>
      <w:r w:rsidR="0064798C" w:rsidRPr="00AE5C99">
        <w:rPr>
          <w:b/>
          <w:i/>
          <w:noProof/>
          <w:lang w:val="sr-Latn-CS"/>
        </w:rPr>
        <w:t xml:space="preserve">. </w:t>
      </w:r>
      <w:r w:rsidR="00D620F2" w:rsidRPr="00AE5C99">
        <w:rPr>
          <w:b/>
          <w:i/>
          <w:noProof/>
          <w:lang w:val="sr-Latn-CS"/>
        </w:rPr>
        <w:t xml:space="preserve">Reference ponuđača </w:t>
      </w:r>
      <w:bookmarkEnd w:id="38"/>
      <w:bookmarkEnd w:id="39"/>
      <w:bookmarkEnd w:id="40"/>
    </w:p>
    <w:p w:rsidR="00D021C0" w:rsidRPr="00AE5C99" w:rsidRDefault="00D021C0" w:rsidP="00AE5C99">
      <w:pPr>
        <w:spacing w:after="0" w:line="240" w:lineRule="auto"/>
        <w:jc w:val="both"/>
        <w:rPr>
          <w:rFonts w:ascii="Arial" w:hAnsi="Arial" w:cs="Arial"/>
          <w:noProof/>
          <w:lang w:val="sr-Latn-CS"/>
        </w:rPr>
      </w:pPr>
    </w:p>
    <w:p w:rsidR="00715AF1" w:rsidRPr="00AE5C99" w:rsidRDefault="00715AF1" w:rsidP="00AE5C99">
      <w:pPr>
        <w:spacing w:before="120" w:after="0" w:line="240" w:lineRule="auto"/>
        <w:jc w:val="both"/>
        <w:rPr>
          <w:rFonts w:ascii="Arial" w:hAnsi="Arial" w:cs="Arial"/>
          <w:noProof/>
        </w:rPr>
      </w:pPr>
      <w:r w:rsidRPr="00AE5C99">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noProof/>
        </w:rPr>
        <w:t>U proceduru bodovanja ulaze reference potvrđene od strane Tenderske komisije.</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noProof/>
        </w:rPr>
        <w:t>Ponuđač koji ne dokaže ili ne dostavi reference dobija 0 bodova.</w:t>
      </w:r>
    </w:p>
    <w:p w:rsidR="00715AF1" w:rsidRPr="00AE5C99" w:rsidRDefault="00715AF1" w:rsidP="00AE5C99">
      <w:pPr>
        <w:spacing w:before="120" w:after="0" w:line="240" w:lineRule="auto"/>
        <w:jc w:val="both"/>
        <w:rPr>
          <w:rFonts w:ascii="Arial" w:hAnsi="Arial" w:cs="Arial"/>
          <w:b/>
          <w:noProof/>
        </w:rPr>
      </w:pPr>
      <w:r w:rsidRPr="00AE5C99">
        <w:rPr>
          <w:rFonts w:ascii="Arial" w:hAnsi="Arial" w:cs="Arial"/>
          <w:b/>
          <w:noProof/>
        </w:rPr>
        <w:t>Kriterijum: BPR / NBPR x 15,</w:t>
      </w:r>
    </w:p>
    <w:p w:rsidR="00715AF1" w:rsidRPr="00AE5C99" w:rsidRDefault="00715AF1" w:rsidP="00AE5C99">
      <w:pPr>
        <w:spacing w:before="120" w:after="0" w:line="240" w:lineRule="auto"/>
        <w:jc w:val="both"/>
        <w:rPr>
          <w:rFonts w:ascii="Arial" w:hAnsi="Arial" w:cs="Arial"/>
          <w:b/>
          <w:noProof/>
        </w:rPr>
      </w:pPr>
      <w:r w:rsidRPr="00AE5C99">
        <w:rPr>
          <w:rFonts w:ascii="Arial" w:hAnsi="Arial" w:cs="Arial"/>
          <w:b/>
          <w:noProof/>
        </w:rPr>
        <w:t>gdje:</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b/>
          <w:noProof/>
        </w:rPr>
        <w:t>BPR</w:t>
      </w:r>
      <w:r w:rsidRPr="00AE5C99">
        <w:rPr>
          <w:rFonts w:ascii="Arial" w:hAnsi="Arial" w:cs="Arial"/>
          <w:noProof/>
        </w:rPr>
        <w:t>- označava broj potvrđenih referenci</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b/>
          <w:noProof/>
        </w:rPr>
        <w:t>NBPR</w:t>
      </w:r>
      <w:r w:rsidRPr="00AE5C99">
        <w:rPr>
          <w:rFonts w:ascii="Arial" w:hAnsi="Arial" w:cs="Arial"/>
          <w:noProof/>
        </w:rPr>
        <w:t>- označava najveći broj potvrđenih referenci</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b/>
          <w:noProof/>
        </w:rPr>
        <w:t>15</w:t>
      </w:r>
      <w:r w:rsidRPr="00AE5C99">
        <w:rPr>
          <w:rFonts w:ascii="Arial" w:hAnsi="Arial" w:cs="Arial"/>
          <w:noProof/>
        </w:rPr>
        <w:t>- označava broj bodova za ovaj kriterijum</w:t>
      </w:r>
    </w:p>
    <w:p w:rsidR="00D021C0" w:rsidRPr="00AE5C99" w:rsidRDefault="00715AF1" w:rsidP="00AE5C99">
      <w:pPr>
        <w:spacing w:after="0" w:line="240" w:lineRule="auto"/>
        <w:jc w:val="both"/>
        <w:rPr>
          <w:rFonts w:ascii="Arial" w:hAnsi="Arial" w:cs="Arial"/>
          <w:noProof/>
        </w:rPr>
      </w:pPr>
      <w:r w:rsidRPr="00AE5C99">
        <w:rPr>
          <w:rFonts w:ascii="Arial" w:hAnsi="Arial" w:cs="Arial"/>
          <w:noProof/>
        </w:rPr>
        <w:t>Ponuđač sa najvećim brojem potvrđenih referenci dobija maksimalni broj bodova, dok ostali ponuđači dobijaju proporcionalno manji broj bodova u skladu sa navedenom formulom</w:t>
      </w:r>
    </w:p>
    <w:p w:rsidR="00715AF1" w:rsidRPr="00AE5C99" w:rsidRDefault="00715AF1" w:rsidP="00AE5C99">
      <w:pPr>
        <w:spacing w:after="0" w:line="240" w:lineRule="auto"/>
        <w:jc w:val="both"/>
        <w:rPr>
          <w:rFonts w:ascii="Arial" w:eastAsia="Times New Roman" w:hAnsi="Arial" w:cs="Arial"/>
          <w:noProof/>
          <w:lang w:val="sr-Latn-CS"/>
        </w:rPr>
      </w:pPr>
    </w:p>
    <w:p w:rsidR="00D620F2" w:rsidRPr="00AE5C99" w:rsidRDefault="00E21B44" w:rsidP="00AE5C99">
      <w:pPr>
        <w:pStyle w:val="Heading2"/>
        <w:numPr>
          <w:ilvl w:val="1"/>
          <w:numId w:val="0"/>
        </w:numPr>
        <w:suppressAutoHyphens w:val="0"/>
        <w:spacing w:before="0" w:after="0" w:line="240" w:lineRule="auto"/>
        <w:rPr>
          <w:rFonts w:eastAsia="Calibri"/>
          <w:b/>
          <w:i/>
          <w:noProof/>
          <w:lang w:val="sr-Latn-CS"/>
        </w:rPr>
      </w:pPr>
      <w:r w:rsidRPr="00AE5C99">
        <w:rPr>
          <w:rFonts w:eastAsia="Calibri"/>
          <w:b/>
          <w:i/>
          <w:noProof/>
          <w:lang w:val="sr-Latn-CS"/>
        </w:rPr>
        <w:t>9</w:t>
      </w:r>
      <w:r w:rsidR="00F92896" w:rsidRPr="00AE5C99">
        <w:rPr>
          <w:rFonts w:eastAsia="Calibri"/>
          <w:b/>
          <w:i/>
          <w:noProof/>
          <w:lang w:val="sr-Latn-CS"/>
        </w:rPr>
        <w:t>.</w:t>
      </w:r>
      <w:r w:rsidR="005F6969" w:rsidRPr="00AE5C99">
        <w:rPr>
          <w:rFonts w:eastAsia="Calibri"/>
          <w:b/>
          <w:i/>
          <w:noProof/>
          <w:lang w:val="sr-Latn-CS"/>
        </w:rPr>
        <w:t>4</w:t>
      </w:r>
      <w:r w:rsidR="0064798C" w:rsidRPr="00AE5C99">
        <w:rPr>
          <w:rFonts w:eastAsia="Calibri"/>
          <w:b/>
          <w:i/>
          <w:noProof/>
          <w:lang w:val="sr-Latn-CS"/>
        </w:rPr>
        <w:t xml:space="preserve">. </w:t>
      </w:r>
      <w:r w:rsidR="00D620F2" w:rsidRPr="00AE5C99">
        <w:rPr>
          <w:rFonts w:eastAsia="Calibri"/>
          <w:b/>
          <w:i/>
          <w:noProof/>
          <w:lang w:val="sr-Latn-CS"/>
        </w:rPr>
        <w:t>Finansijski aspekt</w:t>
      </w:r>
      <w:r w:rsidR="00B530BE" w:rsidRPr="00AE5C99">
        <w:rPr>
          <w:rFonts w:eastAsia="Calibri"/>
          <w:b/>
          <w:i/>
          <w:noProof/>
          <w:lang w:val="sr-Latn-CS"/>
        </w:rPr>
        <w:t xml:space="preserve"> </w:t>
      </w:r>
      <w:r w:rsidR="00D620F2" w:rsidRPr="00AE5C99">
        <w:rPr>
          <w:rFonts w:eastAsia="Calibri"/>
          <w:b/>
          <w:i/>
          <w:noProof/>
          <w:lang w:val="sr-Latn-CS"/>
        </w:rPr>
        <w:t>-</w:t>
      </w:r>
      <w:r w:rsidR="00B530BE" w:rsidRPr="00AE5C99">
        <w:rPr>
          <w:rFonts w:eastAsia="Calibri"/>
          <w:b/>
          <w:i/>
          <w:noProof/>
          <w:lang w:val="sr-Latn-CS"/>
        </w:rPr>
        <w:t xml:space="preserve"> </w:t>
      </w:r>
      <w:r w:rsidR="00D620F2" w:rsidRPr="00AE5C99">
        <w:rPr>
          <w:rFonts w:eastAsia="Calibri"/>
          <w:b/>
          <w:i/>
          <w:noProof/>
          <w:lang w:val="sr-Latn-CS"/>
        </w:rPr>
        <w:t>Prosječni bruto prihod ponuđača u posljednje tri godine</w:t>
      </w:r>
    </w:p>
    <w:p w:rsidR="00D021C0" w:rsidRPr="00AE5C99" w:rsidRDefault="00D021C0" w:rsidP="00AE5C99">
      <w:pPr>
        <w:spacing w:after="0" w:line="240" w:lineRule="auto"/>
        <w:jc w:val="both"/>
        <w:rPr>
          <w:rFonts w:ascii="Arial" w:hAnsi="Arial" w:cs="Arial"/>
          <w:noProof/>
          <w:lang w:val="sr-Latn-CS"/>
        </w:rPr>
      </w:pPr>
    </w:p>
    <w:p w:rsidR="00715AF1" w:rsidRPr="00AE5C99" w:rsidRDefault="00715AF1" w:rsidP="00AE5C99">
      <w:pPr>
        <w:spacing w:after="0" w:line="240" w:lineRule="auto"/>
        <w:jc w:val="both"/>
        <w:rPr>
          <w:rFonts w:ascii="Arial" w:hAnsi="Arial" w:cs="Arial"/>
          <w:noProof/>
        </w:rPr>
      </w:pPr>
      <w:r w:rsidRPr="00AE5C99">
        <w:rPr>
          <w:rFonts w:ascii="Arial" w:hAnsi="Arial" w:cs="Arial"/>
          <w:noProof/>
        </w:rPr>
        <w:t>Ovaj kriterijum se izračunava na sljedeći način:</w:t>
      </w:r>
    </w:p>
    <w:p w:rsidR="00715AF1" w:rsidRPr="00AE5C99" w:rsidRDefault="00715AF1" w:rsidP="00AE5C99">
      <w:pPr>
        <w:spacing w:after="0" w:line="240" w:lineRule="auto"/>
        <w:jc w:val="both"/>
        <w:rPr>
          <w:rFonts w:ascii="Arial" w:hAnsi="Arial" w:cs="Arial"/>
          <w:noProof/>
        </w:rPr>
      </w:pPr>
    </w:p>
    <w:p w:rsidR="00715AF1" w:rsidRPr="00AE5C99" w:rsidRDefault="00715AF1" w:rsidP="00AE5C99">
      <w:pPr>
        <w:spacing w:after="0" w:line="240" w:lineRule="auto"/>
        <w:jc w:val="both"/>
        <w:rPr>
          <w:rFonts w:ascii="Arial" w:hAnsi="Arial" w:cs="Arial"/>
          <w:b/>
          <w:noProof/>
        </w:rPr>
      </w:pPr>
      <w:r w:rsidRPr="00AE5C99">
        <w:rPr>
          <w:rFonts w:ascii="Arial" w:hAnsi="Arial" w:cs="Arial"/>
          <w:b/>
          <w:noProof/>
        </w:rPr>
        <w:t>Kriterijum: PBP / MBP x 10,</w:t>
      </w:r>
    </w:p>
    <w:p w:rsidR="00715AF1" w:rsidRPr="00AE5C99" w:rsidRDefault="00715AF1" w:rsidP="00AE5C99">
      <w:pPr>
        <w:spacing w:after="0" w:line="240" w:lineRule="auto"/>
        <w:jc w:val="both"/>
        <w:rPr>
          <w:rFonts w:ascii="Arial" w:hAnsi="Arial" w:cs="Arial"/>
          <w:noProof/>
        </w:rPr>
      </w:pPr>
    </w:p>
    <w:p w:rsidR="00715AF1" w:rsidRPr="00AE5C99" w:rsidRDefault="00715AF1" w:rsidP="00AE5C99">
      <w:pPr>
        <w:spacing w:after="0" w:line="240" w:lineRule="auto"/>
        <w:jc w:val="both"/>
        <w:rPr>
          <w:rFonts w:ascii="Arial" w:hAnsi="Arial" w:cs="Arial"/>
          <w:noProof/>
        </w:rPr>
      </w:pPr>
      <w:r w:rsidRPr="00AE5C99">
        <w:rPr>
          <w:rFonts w:ascii="Arial" w:hAnsi="Arial" w:cs="Arial"/>
          <w:noProof/>
        </w:rPr>
        <w:t>gdje:</w:t>
      </w:r>
    </w:p>
    <w:p w:rsidR="00715AF1" w:rsidRPr="00AE5C99" w:rsidRDefault="00715AF1" w:rsidP="00AE5C99">
      <w:pPr>
        <w:spacing w:after="0" w:line="240" w:lineRule="auto"/>
        <w:jc w:val="both"/>
        <w:rPr>
          <w:rFonts w:ascii="Arial" w:hAnsi="Arial" w:cs="Arial"/>
          <w:noProof/>
        </w:rPr>
      </w:pPr>
    </w:p>
    <w:p w:rsidR="00715AF1" w:rsidRPr="00AE5C99" w:rsidRDefault="00715AF1" w:rsidP="00AE5C99">
      <w:pPr>
        <w:spacing w:after="0" w:line="240" w:lineRule="auto"/>
        <w:jc w:val="both"/>
        <w:rPr>
          <w:rFonts w:ascii="Arial" w:hAnsi="Arial" w:cs="Arial"/>
          <w:noProof/>
        </w:rPr>
      </w:pPr>
      <w:r w:rsidRPr="00AE5C99">
        <w:rPr>
          <w:rFonts w:ascii="Arial" w:hAnsi="Arial" w:cs="Arial"/>
          <w:b/>
          <w:noProof/>
        </w:rPr>
        <w:t xml:space="preserve">PBP – </w:t>
      </w:r>
      <w:r w:rsidRPr="00AE5C99">
        <w:rPr>
          <w:rFonts w:ascii="Arial" w:hAnsi="Arial" w:cs="Arial"/>
          <w:noProof/>
        </w:rPr>
        <w:t>označava prosječni bruto prihod ponuđača za posljednje tri godine</w:t>
      </w:r>
    </w:p>
    <w:p w:rsidR="00715AF1" w:rsidRPr="00AE5C99" w:rsidRDefault="00715AF1" w:rsidP="00AE5C99">
      <w:pPr>
        <w:spacing w:after="0" w:line="240" w:lineRule="auto"/>
        <w:jc w:val="both"/>
        <w:rPr>
          <w:rFonts w:ascii="Arial" w:hAnsi="Arial" w:cs="Arial"/>
          <w:noProof/>
          <w:lang w:val="pl-PL"/>
        </w:rPr>
      </w:pPr>
      <w:r w:rsidRPr="00AE5C99">
        <w:rPr>
          <w:rFonts w:ascii="Arial" w:hAnsi="Arial" w:cs="Arial"/>
          <w:b/>
          <w:noProof/>
          <w:lang w:val="pl-PL"/>
        </w:rPr>
        <w:t>MBP –</w:t>
      </w:r>
      <w:r w:rsidRPr="00AE5C99">
        <w:rPr>
          <w:rFonts w:ascii="Arial" w:hAnsi="Arial" w:cs="Arial"/>
          <w:noProof/>
          <w:lang w:val="pl-PL"/>
        </w:rPr>
        <w:t xml:space="preserve"> označava maksimalni prosječni bruto prihod za posljednje tri godine od ponuda koje se upoređuju</w:t>
      </w:r>
    </w:p>
    <w:p w:rsidR="00715AF1" w:rsidRPr="00AE5C99" w:rsidRDefault="00715AF1" w:rsidP="00AE5C99">
      <w:pPr>
        <w:spacing w:after="0" w:line="240" w:lineRule="auto"/>
        <w:jc w:val="both"/>
        <w:rPr>
          <w:rFonts w:ascii="Arial" w:hAnsi="Arial" w:cs="Arial"/>
          <w:noProof/>
          <w:lang w:val="pl-PL"/>
        </w:rPr>
      </w:pPr>
      <w:r w:rsidRPr="00AE5C99">
        <w:rPr>
          <w:rFonts w:ascii="Arial" w:hAnsi="Arial" w:cs="Arial"/>
          <w:b/>
          <w:noProof/>
          <w:lang w:val="pl-PL"/>
        </w:rPr>
        <w:t>10 –</w:t>
      </w:r>
      <w:r w:rsidRPr="00AE5C99">
        <w:rPr>
          <w:rFonts w:ascii="Arial" w:hAnsi="Arial" w:cs="Arial"/>
          <w:noProof/>
          <w:lang w:val="pl-PL"/>
        </w:rPr>
        <w:t>označava broj bodova po ovom kriterijumu</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noProof/>
        </w:rPr>
        <w:lastRenderedPageBreak/>
        <w:t xml:space="preserve">Ukoliko je ponuđač konzorcijum, boduje se finansijska sposobnost svakog člana konzorcijuma. </w:t>
      </w:r>
    </w:p>
    <w:p w:rsidR="00715AF1" w:rsidRPr="00AE5C99" w:rsidRDefault="00715AF1" w:rsidP="00AE5C99">
      <w:pPr>
        <w:spacing w:before="120" w:after="0" w:line="240" w:lineRule="auto"/>
        <w:jc w:val="both"/>
        <w:rPr>
          <w:rFonts w:ascii="Arial" w:hAnsi="Arial" w:cs="Arial"/>
          <w:noProof/>
        </w:rPr>
      </w:pPr>
      <w:r w:rsidRPr="00AE5C99">
        <w:rPr>
          <w:rFonts w:ascii="Arial" w:hAnsi="Arial" w:cs="Arial"/>
          <w:noProof/>
        </w:rPr>
        <w:t>Za ponuđače koji su registrovani u periodu kraćem od poslednje tri godine, prosjek se određuje po broju godina poslovanja s tim da je jedna godina poslovanja obavezni minimum.</w:t>
      </w:r>
    </w:p>
    <w:p w:rsidR="00715AF1" w:rsidRPr="00AE5C99" w:rsidRDefault="00715AF1" w:rsidP="00AE5C99">
      <w:pPr>
        <w:spacing w:after="0" w:line="240" w:lineRule="auto"/>
        <w:jc w:val="both"/>
        <w:rPr>
          <w:rFonts w:ascii="Arial" w:hAnsi="Arial" w:cs="Arial"/>
          <w:noProof/>
        </w:rPr>
      </w:pPr>
    </w:p>
    <w:p w:rsidR="00D021C0" w:rsidRPr="00AE5C99" w:rsidRDefault="00D021C0" w:rsidP="00AE5C99">
      <w:pPr>
        <w:spacing w:after="0" w:line="240" w:lineRule="auto"/>
        <w:jc w:val="both"/>
        <w:rPr>
          <w:rFonts w:ascii="Arial" w:hAnsi="Arial" w:cs="Arial"/>
          <w:noProof/>
          <w:lang w:val="sr-Latn-CS"/>
        </w:rPr>
      </w:pPr>
    </w:p>
    <w:p w:rsidR="00D620F2" w:rsidRPr="00AE5C99" w:rsidRDefault="00E21B44" w:rsidP="00AE5C99">
      <w:pPr>
        <w:pStyle w:val="Heading2"/>
        <w:numPr>
          <w:ilvl w:val="1"/>
          <w:numId w:val="0"/>
        </w:numPr>
        <w:suppressAutoHyphens w:val="0"/>
        <w:spacing w:before="0" w:after="0" w:line="240" w:lineRule="auto"/>
        <w:ind w:left="576" w:hanging="576"/>
        <w:rPr>
          <w:rFonts w:eastAsia="Calibri"/>
          <w:b/>
          <w:i/>
          <w:noProof/>
          <w:lang w:val="sr-Latn-CS"/>
        </w:rPr>
      </w:pPr>
      <w:bookmarkStart w:id="41" w:name="_Toc436124908"/>
      <w:r w:rsidRPr="00AE5C99">
        <w:rPr>
          <w:rFonts w:eastAsia="Calibri"/>
          <w:b/>
          <w:i/>
          <w:noProof/>
          <w:lang w:val="sr-Latn-CS"/>
        </w:rPr>
        <w:t>9</w:t>
      </w:r>
      <w:r w:rsidR="00F92896" w:rsidRPr="00AE5C99">
        <w:rPr>
          <w:rFonts w:eastAsia="Calibri"/>
          <w:b/>
          <w:i/>
          <w:noProof/>
          <w:lang w:val="sr-Latn-CS"/>
        </w:rPr>
        <w:t>.</w:t>
      </w:r>
      <w:r w:rsidR="001D5363" w:rsidRPr="00AE5C99">
        <w:rPr>
          <w:rFonts w:eastAsia="Calibri"/>
          <w:b/>
          <w:i/>
          <w:noProof/>
          <w:lang w:val="sr-Latn-CS"/>
        </w:rPr>
        <w:t>5</w:t>
      </w:r>
      <w:r w:rsidR="0064798C" w:rsidRPr="00AE5C99">
        <w:rPr>
          <w:rFonts w:eastAsia="Calibri"/>
          <w:b/>
          <w:i/>
          <w:noProof/>
          <w:lang w:val="sr-Latn-CS"/>
        </w:rPr>
        <w:t xml:space="preserve">. </w:t>
      </w:r>
      <w:r w:rsidR="00D620F2" w:rsidRPr="00AE5C99">
        <w:rPr>
          <w:rFonts w:eastAsia="Calibri"/>
          <w:b/>
          <w:i/>
          <w:noProof/>
          <w:lang w:val="sr-Latn-CS"/>
        </w:rPr>
        <w:t>Kvalitet poslovnog plana i efekti na zapošljavanje i ekonomski razvoj</w:t>
      </w:r>
      <w:bookmarkEnd w:id="41"/>
    </w:p>
    <w:p w:rsidR="00D021C0" w:rsidRPr="00AE5C99" w:rsidRDefault="00D021C0" w:rsidP="00AE5C99">
      <w:pPr>
        <w:spacing w:after="0" w:line="240" w:lineRule="auto"/>
        <w:jc w:val="both"/>
        <w:rPr>
          <w:rFonts w:ascii="Arial" w:hAnsi="Arial" w:cs="Arial"/>
          <w:noProof/>
          <w:lang w:val="sr-Latn-CS"/>
        </w:rPr>
      </w:pPr>
    </w:p>
    <w:p w:rsidR="005E67A5" w:rsidRPr="00AE5C99" w:rsidRDefault="005E67A5" w:rsidP="00AE5C99">
      <w:pPr>
        <w:spacing w:after="0" w:line="240" w:lineRule="auto"/>
        <w:jc w:val="both"/>
        <w:rPr>
          <w:rFonts w:ascii="Arial" w:hAnsi="Arial" w:cs="Arial"/>
          <w:noProof/>
          <w:lang w:val="pl-PL"/>
        </w:rPr>
      </w:pPr>
      <w:r w:rsidRPr="00AE5C99">
        <w:rPr>
          <w:rFonts w:ascii="Arial" w:hAnsi="Arial" w:cs="Arial"/>
          <w:noProof/>
          <w:lang w:val="pl-PL"/>
        </w:rPr>
        <w:t>Ponuđač je dužan da u skladu sa parametrima iz Koncesionog akta opiše poslovni plan za realizaciju koncesije i efekte realizacije koncesije na zapošljavanje i ekonomski razvoj.</w:t>
      </w:r>
    </w:p>
    <w:p w:rsidR="005E67A5" w:rsidRPr="00AE5C99" w:rsidRDefault="005E67A5" w:rsidP="00AE5C99">
      <w:pPr>
        <w:spacing w:after="0" w:line="240" w:lineRule="auto"/>
        <w:jc w:val="both"/>
        <w:rPr>
          <w:rFonts w:ascii="Arial" w:hAnsi="Arial" w:cs="Arial"/>
          <w:noProof/>
          <w:lang w:val="pl-PL"/>
        </w:rPr>
      </w:pPr>
    </w:p>
    <w:p w:rsidR="005E67A5" w:rsidRPr="00AE5C99" w:rsidRDefault="005E67A5" w:rsidP="00AE5C99">
      <w:pPr>
        <w:spacing w:after="0" w:line="240" w:lineRule="auto"/>
        <w:jc w:val="both"/>
        <w:rPr>
          <w:rFonts w:ascii="Arial" w:hAnsi="Arial" w:cs="Arial"/>
          <w:noProof/>
          <w:lang w:val="pl-PL"/>
        </w:rPr>
      </w:pPr>
      <w:r w:rsidRPr="00AE5C99">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5E67A5" w:rsidRPr="00AE5C99" w:rsidRDefault="005E67A5" w:rsidP="00AE5C99">
      <w:pPr>
        <w:spacing w:after="0" w:line="240" w:lineRule="auto"/>
        <w:jc w:val="both"/>
        <w:rPr>
          <w:rFonts w:ascii="Arial" w:hAnsi="Arial" w:cs="Arial"/>
          <w:noProof/>
          <w:lang w:val="pl-PL"/>
        </w:rPr>
      </w:pPr>
    </w:p>
    <w:p w:rsidR="005E67A5" w:rsidRPr="00AE5C99" w:rsidRDefault="005E67A5" w:rsidP="00AE5C99">
      <w:pPr>
        <w:spacing w:after="0" w:line="240" w:lineRule="auto"/>
        <w:jc w:val="both"/>
        <w:rPr>
          <w:rFonts w:ascii="Arial" w:hAnsi="Arial" w:cs="Arial"/>
          <w:noProof/>
          <w:lang w:val="pl-PL"/>
        </w:rPr>
      </w:pPr>
      <w:r w:rsidRPr="00AE5C99">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FE2072" w:rsidRPr="00AE5C99" w:rsidRDefault="00FE2072" w:rsidP="00AE5C99">
      <w:pPr>
        <w:spacing w:after="0" w:line="240" w:lineRule="auto"/>
        <w:jc w:val="both"/>
        <w:rPr>
          <w:rFonts w:ascii="Arial" w:hAnsi="Arial" w:cs="Arial"/>
          <w:noProof/>
          <w:lang w:val="sr-Latn-CS"/>
        </w:rPr>
      </w:pPr>
    </w:p>
    <w:p w:rsidR="00D620F2" w:rsidRPr="00AE5C99" w:rsidRDefault="00323187" w:rsidP="00AE5C99">
      <w:pPr>
        <w:pStyle w:val="Heading1"/>
        <w:numPr>
          <w:ilvl w:val="0"/>
          <w:numId w:val="18"/>
        </w:numPr>
        <w:ind w:left="360"/>
        <w:jc w:val="both"/>
        <w:rPr>
          <w:noProof/>
          <w:lang w:val="sr-Latn-CS"/>
        </w:rPr>
      </w:pPr>
      <w:bookmarkStart w:id="42" w:name="_Toc390549920"/>
      <w:bookmarkStart w:id="43" w:name="_Toc402262970"/>
      <w:bookmarkStart w:id="44" w:name="_Toc4581265"/>
      <w:r w:rsidRPr="00AE5C99">
        <w:rPr>
          <w:noProof/>
          <w:lang w:val="sr-Latn-CS"/>
        </w:rPr>
        <w:t>SPISAK POTREBNE TEHNIČKE DOKUMENTACIJE SA USLOVIMA ZA NJENU IZRADU, ODOBRENJA, SAGLASNOSTI I MIŠLJENJA ZA OBAVLJANJE KONCESIONE DJELATNOSTI</w:t>
      </w:r>
      <w:bookmarkEnd w:id="42"/>
      <w:bookmarkEnd w:id="43"/>
      <w:bookmarkEnd w:id="44"/>
    </w:p>
    <w:p w:rsidR="00A700A0" w:rsidRPr="00AE5C99" w:rsidRDefault="00A700A0" w:rsidP="00AE5C99">
      <w:pPr>
        <w:spacing w:after="0" w:line="240" w:lineRule="auto"/>
        <w:rPr>
          <w:rFonts w:ascii="Arial" w:hAnsi="Arial" w:cs="Arial"/>
          <w:noProof/>
          <w:lang w:val="sr-Latn-CS"/>
        </w:rPr>
      </w:pPr>
    </w:p>
    <w:p w:rsidR="00D620F2" w:rsidRPr="00AE5C99" w:rsidRDefault="005F6969" w:rsidP="00AE5C99">
      <w:pPr>
        <w:pStyle w:val="Heading2"/>
        <w:numPr>
          <w:ilvl w:val="1"/>
          <w:numId w:val="18"/>
        </w:numPr>
        <w:spacing w:before="0" w:after="0" w:line="240" w:lineRule="auto"/>
        <w:rPr>
          <w:b/>
          <w:i/>
          <w:noProof/>
          <w:lang w:val="sr-Latn-CS"/>
        </w:rPr>
      </w:pPr>
      <w:bookmarkStart w:id="45" w:name="_Toc402221835"/>
      <w:r w:rsidRPr="00AE5C99">
        <w:rPr>
          <w:b/>
          <w:i/>
          <w:noProof/>
          <w:lang w:val="sr-Latn-CS"/>
        </w:rPr>
        <w:t>D</w:t>
      </w:r>
      <w:r w:rsidR="00A8364D" w:rsidRPr="00AE5C99">
        <w:rPr>
          <w:b/>
          <w:i/>
          <w:noProof/>
          <w:lang w:val="sr-Latn-CS"/>
        </w:rPr>
        <w:t>etaljna geološ</w:t>
      </w:r>
      <w:r w:rsidR="00CF4CDA" w:rsidRPr="00AE5C99">
        <w:rPr>
          <w:b/>
          <w:i/>
          <w:noProof/>
          <w:lang w:val="sr-Latn-CS"/>
        </w:rPr>
        <w:t>k</w:t>
      </w:r>
      <w:r w:rsidR="00A8364D" w:rsidRPr="00AE5C99">
        <w:rPr>
          <w:b/>
          <w:i/>
          <w:noProof/>
          <w:lang w:val="sr-Latn-CS"/>
        </w:rPr>
        <w:t xml:space="preserve">a </w:t>
      </w:r>
      <w:r w:rsidR="00D620F2" w:rsidRPr="00AE5C99">
        <w:rPr>
          <w:b/>
          <w:i/>
          <w:noProof/>
          <w:lang w:val="sr-Latn-CS"/>
        </w:rPr>
        <w:t>istraživanja</w:t>
      </w:r>
      <w:bookmarkEnd w:id="45"/>
    </w:p>
    <w:p w:rsidR="00A700A0" w:rsidRPr="00AE5C99" w:rsidRDefault="00A700A0" w:rsidP="00AE5C99">
      <w:pPr>
        <w:spacing w:after="0" w:line="240" w:lineRule="auto"/>
        <w:rPr>
          <w:rFonts w:ascii="Arial" w:hAnsi="Arial" w:cs="Arial"/>
          <w:noProof/>
          <w:lang w:val="sr-Latn-CS"/>
        </w:rPr>
      </w:pPr>
    </w:p>
    <w:p w:rsidR="000221CF" w:rsidRPr="00AE5C99" w:rsidRDefault="000221CF" w:rsidP="00AE5C99">
      <w:pPr>
        <w:spacing w:after="0" w:line="240" w:lineRule="auto"/>
        <w:jc w:val="both"/>
        <w:rPr>
          <w:rFonts w:ascii="Arial" w:hAnsi="Arial" w:cs="Arial"/>
          <w:noProof/>
          <w:lang w:val="sr-Latn-CS"/>
        </w:rPr>
      </w:pPr>
      <w:bookmarkStart w:id="46" w:name="_Toc402221836"/>
      <w:r w:rsidRPr="00AE5C99">
        <w:rPr>
          <w:rFonts w:ascii="Arial" w:hAnsi="Arial" w:cs="Arial"/>
          <w:noProof/>
          <w:lang w:val="sr-Latn-CS"/>
        </w:rPr>
        <w:t>Tokom eksploatacije, shodno odredbama Zakona o geološkim istraživanjima, budući Koncesionar je dužan da izvodi geološka istraživanja u cilju povećanja ukupnih rezervi mineralne sirovine.</w:t>
      </w:r>
    </w:p>
    <w:p w:rsidR="000221CF" w:rsidRPr="00AE5C99" w:rsidRDefault="000221CF" w:rsidP="00AE5C99">
      <w:pPr>
        <w:spacing w:after="0" w:line="240" w:lineRule="auto"/>
        <w:jc w:val="both"/>
        <w:rPr>
          <w:rFonts w:ascii="Arial" w:hAnsi="Arial" w:cs="Arial"/>
          <w:noProof/>
          <w:lang w:val="sr-Latn-CS"/>
        </w:rPr>
      </w:pPr>
    </w:p>
    <w:p w:rsidR="000221CF" w:rsidRPr="00AE5C99" w:rsidRDefault="000221CF" w:rsidP="00AE5C99">
      <w:pPr>
        <w:spacing w:after="0" w:line="240" w:lineRule="auto"/>
        <w:jc w:val="both"/>
        <w:rPr>
          <w:rFonts w:ascii="Arial" w:hAnsi="Arial" w:cs="Arial"/>
          <w:noProof/>
          <w:lang w:val="sr-Latn-CS"/>
        </w:rPr>
      </w:pPr>
      <w:r w:rsidRPr="00AE5C99">
        <w:rPr>
          <w:rFonts w:ascii="Arial" w:hAnsi="Arial" w:cs="Arial"/>
          <w:noProof/>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544A09" w:rsidRPr="00AE5C99" w:rsidRDefault="00544A09" w:rsidP="00AE5C99">
      <w:pPr>
        <w:spacing w:after="0" w:line="240" w:lineRule="auto"/>
        <w:jc w:val="both"/>
        <w:rPr>
          <w:rFonts w:ascii="Arial" w:hAnsi="Arial" w:cs="Arial"/>
          <w:noProof/>
          <w:lang w:val="sr-Latn-CS"/>
        </w:rPr>
      </w:pPr>
    </w:p>
    <w:p w:rsidR="00D620F2" w:rsidRPr="00AE5C99" w:rsidRDefault="005F6969" w:rsidP="00AE5C99">
      <w:pPr>
        <w:pStyle w:val="Heading2"/>
        <w:numPr>
          <w:ilvl w:val="1"/>
          <w:numId w:val="18"/>
        </w:numPr>
        <w:spacing w:before="0" w:after="0" w:line="240" w:lineRule="auto"/>
        <w:rPr>
          <w:b/>
          <w:i/>
          <w:noProof/>
          <w:lang w:val="sr-Latn-CS"/>
        </w:rPr>
      </w:pPr>
      <w:r w:rsidRPr="00AE5C99">
        <w:rPr>
          <w:b/>
          <w:i/>
          <w:noProof/>
          <w:lang w:val="sr-Latn-CS"/>
        </w:rPr>
        <w:t>E</w:t>
      </w:r>
      <w:r w:rsidR="00D620F2" w:rsidRPr="00AE5C99">
        <w:rPr>
          <w:b/>
          <w:i/>
          <w:noProof/>
          <w:lang w:val="sr-Latn-CS"/>
        </w:rPr>
        <w:t>ksploatacij</w:t>
      </w:r>
      <w:r w:rsidRPr="00AE5C99">
        <w:rPr>
          <w:b/>
          <w:i/>
          <w:noProof/>
          <w:lang w:val="sr-Latn-CS"/>
        </w:rPr>
        <w:t>a</w:t>
      </w:r>
      <w:r w:rsidR="00D620F2" w:rsidRPr="00AE5C99">
        <w:rPr>
          <w:b/>
          <w:i/>
          <w:noProof/>
          <w:lang w:val="sr-Latn-CS"/>
        </w:rPr>
        <w:t xml:space="preserve"> mineralne sirovine</w:t>
      </w:r>
      <w:bookmarkEnd w:id="46"/>
    </w:p>
    <w:p w:rsidR="005F09B6" w:rsidRPr="00AE5C99" w:rsidRDefault="005F09B6" w:rsidP="00AE5C99">
      <w:pPr>
        <w:spacing w:line="240" w:lineRule="auto"/>
        <w:rPr>
          <w:rFonts w:ascii="Arial" w:hAnsi="Arial" w:cs="Arial"/>
          <w:lang w:val="sr-Latn-CS"/>
        </w:rPr>
      </w:pPr>
    </w:p>
    <w:p w:rsidR="00D620F2" w:rsidRPr="00AE5C99" w:rsidRDefault="00D620F2" w:rsidP="00AE5C99">
      <w:pPr>
        <w:pStyle w:val="Heading2"/>
        <w:numPr>
          <w:ilvl w:val="1"/>
          <w:numId w:val="0"/>
        </w:numPr>
        <w:spacing w:before="0" w:after="0" w:line="240" w:lineRule="auto"/>
        <w:ind w:left="576" w:hanging="576"/>
        <w:rPr>
          <w:noProof/>
          <w:lang w:val="sr-Latn-CS"/>
        </w:rPr>
      </w:pPr>
      <w:bookmarkStart w:id="47" w:name="_Toc402262971"/>
      <w:r w:rsidRPr="00AE5C99">
        <w:rPr>
          <w:noProof/>
          <w:lang w:val="sr-Latn-CS"/>
        </w:rPr>
        <w:t>1</w:t>
      </w:r>
      <w:r w:rsidR="00E21B44" w:rsidRPr="00AE5C99">
        <w:rPr>
          <w:noProof/>
          <w:lang w:val="sr-Latn-CS"/>
        </w:rPr>
        <w:t>0</w:t>
      </w:r>
      <w:r w:rsidRPr="00AE5C99">
        <w:rPr>
          <w:noProof/>
          <w:lang w:val="sr-Latn-CS"/>
        </w:rPr>
        <w:t>.2.1</w:t>
      </w:r>
      <w:r w:rsidR="00781B19" w:rsidRPr="00AE5C99">
        <w:rPr>
          <w:noProof/>
          <w:lang w:val="sr-Latn-CS"/>
        </w:rPr>
        <w:t>.</w:t>
      </w:r>
      <w:r w:rsidRPr="00AE5C99">
        <w:rPr>
          <w:noProof/>
          <w:lang w:val="sr-Latn-CS"/>
        </w:rPr>
        <w:t xml:space="preserve"> Odobrenje za eksploataciju mineralne sirovine na eksploatacionom polju</w:t>
      </w:r>
      <w:bookmarkEnd w:id="47"/>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Odobrenje za eksploataciju mineralne sirovine na eksploatacionom polju, u skladu sa članom 33 Zakona o rudarstvu, izdaje Ministarstvo ekonomije na zahtjev investitora. Uz zahtjev se dostavlja i sljedeća dokumentacija:</w:t>
      </w:r>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ugovor o koncesiji;</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 xml:space="preserve">situaciona karta </w:t>
      </w:r>
      <w:r w:rsidR="00B530BE" w:rsidRPr="00AE5C99">
        <w:rPr>
          <w:rFonts w:ascii="Arial" w:hAnsi="Arial" w:cs="Arial"/>
          <w:noProof/>
          <w:lang w:val="sr-Latn-CS"/>
        </w:rPr>
        <w:t>u razmjeri 1:10.000 (</w:t>
      </w:r>
      <w:r w:rsidRPr="00AE5C99">
        <w:rPr>
          <w:rFonts w:ascii="Arial" w:hAnsi="Arial" w:cs="Arial"/>
          <w:noProof/>
          <w:lang w:val="sr-Latn-CS"/>
        </w:rPr>
        <w:t>ili većoj) sa ucrtanim granicama eksploatacionog polja, javnim saobraćajnicama, rudarskim radovima i drugim objektima koji se nalaze na eksploatacionom polju, opisom granica, nazivom eksploatacionog polja i naznačenjem opštine na čijoj se teritoriji nalazi;</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potvrdu o bilansnim rezervama mineralnih sirovina koja se izdaje u skladu sa važećim propisima o klasifikaciji i kategorizaciji rezervi;</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lastRenderedPageBreak/>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mišljenje nadležnog organa za zaštitu životne sredine na studiju izvodljivosti eksploatacije;</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akt organa nadležnog za poslove urbanizma u pogledu usaglašenosti planirane eksploatacije mineralnih sirovina sa odgovarajućim prostornim, odnosno urbanističkim planovima;</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licenca za izvođenje radova;</w:t>
      </w:r>
    </w:p>
    <w:p w:rsidR="00D620F2" w:rsidRPr="00AE5C99" w:rsidRDefault="00D620F2" w:rsidP="00AE5C99">
      <w:pPr>
        <w:pStyle w:val="ListParagraph"/>
        <w:numPr>
          <w:ilvl w:val="0"/>
          <w:numId w:val="6"/>
        </w:numPr>
        <w:autoSpaceDE w:val="0"/>
        <w:autoSpaceDN w:val="0"/>
        <w:adjustRightInd w:val="0"/>
        <w:spacing w:after="0" w:line="240" w:lineRule="auto"/>
        <w:jc w:val="both"/>
        <w:rPr>
          <w:rFonts w:ascii="Arial" w:hAnsi="Arial" w:cs="Arial"/>
          <w:noProof/>
          <w:lang w:val="sr-Latn-CS"/>
        </w:rPr>
      </w:pPr>
      <w:r w:rsidRPr="00AE5C99">
        <w:rPr>
          <w:rFonts w:ascii="Arial" w:hAnsi="Arial" w:cs="Arial"/>
          <w:noProof/>
          <w:lang w:val="sr-Latn-CS"/>
        </w:rPr>
        <w:t>drugi podaci od značaja za izdavanje odobrenja na zahtjev nadležnog organa.</w:t>
      </w:r>
    </w:p>
    <w:p w:rsidR="00A700A0" w:rsidRPr="00AE5C99" w:rsidRDefault="00A700A0" w:rsidP="00AE5C99">
      <w:pPr>
        <w:autoSpaceDE w:val="0"/>
        <w:autoSpaceDN w:val="0"/>
        <w:adjustRightInd w:val="0"/>
        <w:spacing w:after="0" w:line="240" w:lineRule="auto"/>
        <w:ind w:left="360"/>
        <w:jc w:val="both"/>
        <w:rPr>
          <w:rFonts w:ascii="Arial" w:hAnsi="Arial" w:cs="Arial"/>
          <w:noProof/>
          <w:lang w:val="sr-Latn-CS"/>
        </w:rPr>
      </w:pPr>
    </w:p>
    <w:p w:rsidR="00D620F2" w:rsidRPr="00AE5C99" w:rsidRDefault="00D620F2" w:rsidP="00AE5C99">
      <w:pPr>
        <w:pStyle w:val="Heading2"/>
        <w:numPr>
          <w:ilvl w:val="1"/>
          <w:numId w:val="0"/>
        </w:numPr>
        <w:spacing w:before="0" w:after="0" w:line="240" w:lineRule="auto"/>
        <w:rPr>
          <w:noProof/>
          <w:lang w:val="sr-Latn-CS"/>
        </w:rPr>
      </w:pPr>
      <w:bookmarkStart w:id="48" w:name="_Toc402262972"/>
      <w:r w:rsidRPr="00AE5C99">
        <w:rPr>
          <w:rFonts w:eastAsia="Calibri"/>
          <w:bCs w:val="0"/>
          <w:iCs w:val="0"/>
          <w:noProof/>
          <w:kern w:val="0"/>
          <w:lang w:val="sr-Latn-CS"/>
        </w:rPr>
        <w:t>1</w:t>
      </w:r>
      <w:r w:rsidR="00E21B44" w:rsidRPr="00AE5C99">
        <w:rPr>
          <w:rFonts w:eastAsia="Calibri"/>
          <w:bCs w:val="0"/>
          <w:iCs w:val="0"/>
          <w:noProof/>
          <w:kern w:val="0"/>
          <w:lang w:val="sr-Latn-CS"/>
        </w:rPr>
        <w:t>0</w:t>
      </w:r>
      <w:r w:rsidRPr="00AE5C99">
        <w:rPr>
          <w:rFonts w:eastAsia="Calibri"/>
          <w:bCs w:val="0"/>
          <w:iCs w:val="0"/>
          <w:noProof/>
          <w:kern w:val="0"/>
          <w:lang w:val="sr-Latn-CS"/>
        </w:rPr>
        <w:t>.2.2</w:t>
      </w:r>
      <w:r w:rsidR="00781B19" w:rsidRPr="00AE5C99">
        <w:rPr>
          <w:rFonts w:eastAsia="Calibri"/>
          <w:bCs w:val="0"/>
          <w:iCs w:val="0"/>
          <w:noProof/>
          <w:kern w:val="0"/>
          <w:lang w:val="sr-Latn-CS"/>
        </w:rPr>
        <w:t>.</w:t>
      </w:r>
      <w:r w:rsidR="002637DE" w:rsidRPr="00AE5C99">
        <w:rPr>
          <w:rFonts w:eastAsia="Calibri"/>
          <w:bCs w:val="0"/>
          <w:iCs w:val="0"/>
          <w:noProof/>
          <w:kern w:val="0"/>
          <w:lang w:val="sr-Latn-CS"/>
        </w:rPr>
        <w:t xml:space="preserve"> </w:t>
      </w:r>
      <w:r w:rsidRPr="00AE5C99">
        <w:rPr>
          <w:noProof/>
          <w:lang w:val="sr-Latn-CS"/>
        </w:rPr>
        <w:t>Odobrenje</w:t>
      </w:r>
      <w:r w:rsidR="00606AF7" w:rsidRPr="00AE5C99">
        <w:rPr>
          <w:noProof/>
          <w:lang w:val="sr-Latn-CS"/>
        </w:rPr>
        <w:t xml:space="preserve"> </w:t>
      </w:r>
      <w:r w:rsidRPr="00AE5C99">
        <w:rPr>
          <w:noProof/>
          <w:lang w:val="sr-Latn-CS"/>
        </w:rPr>
        <w:t>za</w:t>
      </w:r>
      <w:r w:rsidR="00606AF7" w:rsidRPr="00AE5C99">
        <w:rPr>
          <w:noProof/>
          <w:lang w:val="sr-Latn-CS"/>
        </w:rPr>
        <w:t xml:space="preserve"> </w:t>
      </w:r>
      <w:r w:rsidRPr="00AE5C99">
        <w:rPr>
          <w:noProof/>
          <w:lang w:val="sr-Latn-CS"/>
        </w:rPr>
        <w:t>izvođenje</w:t>
      </w:r>
      <w:r w:rsidR="00606AF7" w:rsidRPr="00AE5C99">
        <w:rPr>
          <w:noProof/>
          <w:lang w:val="sr-Latn-CS"/>
        </w:rPr>
        <w:t xml:space="preserve"> </w:t>
      </w:r>
      <w:r w:rsidRPr="00AE5C99">
        <w:rPr>
          <w:noProof/>
          <w:lang w:val="sr-Latn-CS"/>
        </w:rPr>
        <w:t>radova po rudarskom projektu</w:t>
      </w:r>
      <w:bookmarkEnd w:id="48"/>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Nakon dobijanja odobrenja za eksploataciju mineralne sirovine na eksploatacionom polju, pristupa se izradi rudarske tehničke dokumentacije –</w:t>
      </w:r>
      <w:r w:rsidR="002637DE" w:rsidRPr="00AE5C99">
        <w:rPr>
          <w:rFonts w:ascii="Arial" w:hAnsi="Arial" w:cs="Arial"/>
          <w:noProof/>
          <w:lang w:val="sr-Latn-CS"/>
        </w:rPr>
        <w:t xml:space="preserve"> </w:t>
      </w:r>
      <w:r w:rsidRPr="00AE5C99">
        <w:rPr>
          <w:rFonts w:ascii="Arial" w:hAnsi="Arial" w:cs="Arial"/>
          <w:noProof/>
          <w:lang w:val="sr-Latn-CS"/>
        </w:rPr>
        <w:t>rudarskog projekta eksploatacije.</w:t>
      </w:r>
    </w:p>
    <w:p w:rsidR="00CF4CDA"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Odobrenje za izvođenje radova po rudarskom projektu, u skladu sa članom 53 Zakona o rudarstvu, izdaje Ministarstvo ekonomije na zahtjev investitora. Uz zahtjev se dostavlja i sljedeća dokumentacija:</w:t>
      </w:r>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rudarski projekat sa revizionom klauzulom;</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potvrda-saglasnost organa koji je izdao uslove da je rudarski projekat urađen u skladu sa izdatim uslovima;</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urbanističko-tehnički uslovi;</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dokaz o pravu svojine ili korišćenja na zemljištu, odnosno službenosti za najmanje dvije godine eksploatacije mineralne sirovine prema dinamici utvrđenoj koncesionim pravom;</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saglasnost organa državne uprave nadležnog za poslove zaštite životne sredine na elaborat procjene uticaja na životnu sredinu ili odluku da nije potrebno vršiti procjenu uticaja koje se izdaju u skladu sa posebnim propisom;</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vodoprivredna saglasnost na projekte kada eksploatacija mineralnih sirovina utiče na režim voda;</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saobraćajna saglasnost za pristup javnim saobraćajnicama;</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licenca za izvođenje radova;</w:t>
      </w:r>
    </w:p>
    <w:p w:rsidR="00D620F2" w:rsidRPr="00AE5C99" w:rsidRDefault="00D620F2" w:rsidP="00AE5C99">
      <w:pPr>
        <w:pStyle w:val="ListParagraph"/>
        <w:numPr>
          <w:ilvl w:val="0"/>
          <w:numId w:val="7"/>
        </w:numPr>
        <w:spacing w:after="0" w:line="240" w:lineRule="auto"/>
        <w:jc w:val="both"/>
        <w:rPr>
          <w:rFonts w:ascii="Arial" w:hAnsi="Arial" w:cs="Arial"/>
          <w:noProof/>
          <w:lang w:val="sr-Latn-CS"/>
        </w:rPr>
      </w:pPr>
      <w:r w:rsidRPr="00AE5C99">
        <w:rPr>
          <w:rFonts w:ascii="Arial" w:hAnsi="Arial" w:cs="Arial"/>
          <w:noProof/>
          <w:lang w:val="sr-Latn-CS"/>
        </w:rPr>
        <w:t>dokaz o plaćenoj naknadi za promjenu namjene korišćenja poljoprivrednog zemljišta.</w:t>
      </w:r>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A700A0" w:rsidRPr="00AE5C99" w:rsidRDefault="00A700A0" w:rsidP="00AE5C99">
      <w:pPr>
        <w:spacing w:after="0" w:line="240" w:lineRule="auto"/>
        <w:jc w:val="both"/>
        <w:rPr>
          <w:rFonts w:ascii="Arial" w:hAnsi="Arial" w:cs="Arial"/>
          <w:noProof/>
          <w:lang w:val="sr-Latn-CS"/>
        </w:rPr>
      </w:pPr>
    </w:p>
    <w:p w:rsidR="000156A4" w:rsidRPr="00AE5C99" w:rsidRDefault="00D620F2" w:rsidP="00AE5C99">
      <w:pPr>
        <w:pStyle w:val="Heading3"/>
        <w:suppressAutoHyphens/>
        <w:jc w:val="left"/>
        <w:rPr>
          <w:rFonts w:ascii="Arial" w:hAnsi="Arial" w:cs="Arial"/>
          <w:noProof/>
          <w:sz w:val="22"/>
          <w:szCs w:val="22"/>
          <w:lang w:val="sr-Latn-CS"/>
        </w:rPr>
      </w:pPr>
      <w:bookmarkStart w:id="49" w:name="_Toc435529036"/>
      <w:bookmarkStart w:id="50" w:name="_Toc436124913"/>
      <w:r w:rsidRPr="00AE5C99">
        <w:rPr>
          <w:rFonts w:ascii="Arial" w:hAnsi="Arial" w:cs="Arial"/>
          <w:noProof/>
          <w:sz w:val="22"/>
          <w:szCs w:val="22"/>
          <w:lang w:val="sr-Latn-CS"/>
        </w:rPr>
        <w:t>1</w:t>
      </w:r>
      <w:r w:rsidR="00E21B44" w:rsidRPr="00AE5C99">
        <w:rPr>
          <w:rFonts w:ascii="Arial" w:hAnsi="Arial" w:cs="Arial"/>
          <w:noProof/>
          <w:sz w:val="22"/>
          <w:szCs w:val="22"/>
          <w:lang w:val="sr-Latn-CS"/>
        </w:rPr>
        <w:t>0</w:t>
      </w:r>
      <w:r w:rsidRPr="00AE5C99">
        <w:rPr>
          <w:rFonts w:ascii="Arial" w:hAnsi="Arial" w:cs="Arial"/>
          <w:noProof/>
          <w:sz w:val="22"/>
          <w:szCs w:val="22"/>
          <w:lang w:val="sr-Latn-CS"/>
        </w:rPr>
        <w:t>.2.3</w:t>
      </w:r>
      <w:r w:rsidR="00781B19" w:rsidRPr="00AE5C99">
        <w:rPr>
          <w:rFonts w:ascii="Arial" w:hAnsi="Arial" w:cs="Arial"/>
          <w:noProof/>
          <w:sz w:val="22"/>
          <w:szCs w:val="22"/>
          <w:lang w:val="sr-Latn-CS"/>
        </w:rPr>
        <w:t>.</w:t>
      </w:r>
      <w:r w:rsidRPr="00AE5C99">
        <w:rPr>
          <w:rFonts w:ascii="Arial" w:hAnsi="Arial" w:cs="Arial"/>
          <w:noProof/>
          <w:sz w:val="22"/>
          <w:szCs w:val="22"/>
          <w:lang w:val="sr-Latn-CS"/>
        </w:rPr>
        <w:t xml:space="preserve"> Odobrenje za upotrebu rudarskih objekata</w:t>
      </w:r>
      <w:bookmarkEnd w:id="49"/>
      <w:bookmarkEnd w:id="50"/>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Izgrađeni rudarski objekti ili d</w:t>
      </w:r>
      <w:r w:rsidR="002637DE" w:rsidRPr="00AE5C99">
        <w:rPr>
          <w:rFonts w:ascii="Arial" w:hAnsi="Arial" w:cs="Arial"/>
          <w:noProof/>
          <w:lang w:val="sr-Latn-CS"/>
        </w:rPr>
        <w:t>i</w:t>
      </w:r>
      <w:r w:rsidRPr="00AE5C99">
        <w:rPr>
          <w:rFonts w:ascii="Arial" w:hAnsi="Arial" w:cs="Arial"/>
          <w:noProof/>
          <w:lang w:val="sr-Latn-CS"/>
        </w:rPr>
        <w:t>jelovi rudarskih objekata koji se mogu samostalno koristiti, prije početka korišćenja, podliježu tehničkom pregledu, koji obuhvata pregled: rudarskih i građevinskih radova, električnih postrojenja, uređaja i instalacija i rudarske opreme i postrojenja.</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Tehničkim pregledom utvrđuje se usklađenost izvedenih radova sa tehničkom dokumentacijom na osnovu koje je izdato odobrenje za izvođenje radova, tehničkim </w:t>
      </w:r>
      <w:r w:rsidRPr="00AE5C99">
        <w:rPr>
          <w:rFonts w:ascii="Arial" w:hAnsi="Arial" w:cs="Arial"/>
          <w:noProof/>
          <w:lang w:val="sr-Latn-CS"/>
        </w:rPr>
        <w:lastRenderedPageBreak/>
        <w:t>propisima čija je primjena obavezna pri izgradnji rudarskih objekata i mjerama i normativima zaštite na radu i zaštite životne sredine. Troškove tehničkog pregleda snosi investitor.</w:t>
      </w:r>
    </w:p>
    <w:p w:rsidR="00A700A0" w:rsidRPr="00AE5C99" w:rsidRDefault="00A700A0" w:rsidP="00AE5C99">
      <w:pPr>
        <w:spacing w:after="0" w:line="240" w:lineRule="auto"/>
        <w:jc w:val="both"/>
        <w:rPr>
          <w:rFonts w:ascii="Arial"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Tehnički pregled i odobrenje za upotrebu rudarskih objekata ili dijela objekta vrši nadležni organ preko stručne komisije ili pravnog lica u skladu sa propisima o izgradnji objekata.</w:t>
      </w:r>
    </w:p>
    <w:p w:rsidR="00D620F2" w:rsidRPr="00AE5C99" w:rsidRDefault="00D620F2" w:rsidP="00AE5C99">
      <w:pPr>
        <w:spacing w:after="0" w:line="240" w:lineRule="auto"/>
        <w:jc w:val="both"/>
        <w:rPr>
          <w:rFonts w:ascii="Arial" w:hAnsi="Arial" w:cs="Arial"/>
          <w:noProof/>
          <w:lang w:val="sr-Latn-CS"/>
        </w:rPr>
      </w:pPr>
      <w:r w:rsidRPr="00AE5C99">
        <w:rPr>
          <w:rFonts w:ascii="Arial" w:hAnsi="Arial" w:cs="Arial"/>
          <w:noProof/>
          <w:lang w:val="sr-Latn-CS"/>
        </w:rPr>
        <w:t xml:space="preserve">Ako je za izdavanje odobrenja za upotrebu rudarskih objekata posebnim zakonom propisana obaveza prethodnog pribavljanja saglasnosti ili dozvole drugih organa ili organizacija, uz zahtjev za izdavanje odobrenja podnosi se </w:t>
      </w:r>
      <w:r w:rsidR="00A700A0" w:rsidRPr="00AE5C99">
        <w:rPr>
          <w:rFonts w:ascii="Arial" w:hAnsi="Arial" w:cs="Arial"/>
          <w:noProof/>
          <w:lang w:val="sr-Latn-CS"/>
        </w:rPr>
        <w:t>i saglasnost, odnosno, dozvola.</w:t>
      </w:r>
    </w:p>
    <w:p w:rsidR="00A700A0" w:rsidRPr="00AE5C99" w:rsidRDefault="00A700A0" w:rsidP="00AE5C99">
      <w:pPr>
        <w:spacing w:after="0" w:line="240" w:lineRule="auto"/>
        <w:jc w:val="both"/>
        <w:rPr>
          <w:rFonts w:ascii="Arial" w:hAnsi="Arial" w:cs="Arial"/>
          <w:noProof/>
          <w:lang w:val="sr-Latn-CS"/>
        </w:rPr>
      </w:pPr>
    </w:p>
    <w:p w:rsidR="00A700A0" w:rsidRPr="00AE5C99" w:rsidRDefault="00A700A0" w:rsidP="00AE5C99">
      <w:pPr>
        <w:spacing w:after="0" w:line="240" w:lineRule="auto"/>
        <w:jc w:val="both"/>
        <w:rPr>
          <w:rFonts w:ascii="Arial" w:hAnsi="Arial" w:cs="Arial"/>
          <w:noProof/>
          <w:lang w:val="sr-Latn-CS"/>
        </w:rPr>
      </w:pPr>
    </w:p>
    <w:p w:rsidR="00D620F2" w:rsidRPr="00AE5C99" w:rsidRDefault="00323187" w:rsidP="00AE5C99">
      <w:pPr>
        <w:pStyle w:val="Heading1"/>
        <w:numPr>
          <w:ilvl w:val="0"/>
          <w:numId w:val="18"/>
        </w:numPr>
        <w:ind w:left="360"/>
        <w:rPr>
          <w:noProof/>
          <w:lang w:val="sr-Latn-CS"/>
        </w:rPr>
      </w:pPr>
      <w:bookmarkStart w:id="51" w:name="_Toc390549926"/>
      <w:bookmarkStart w:id="52" w:name="_Toc402262974"/>
      <w:bookmarkStart w:id="53" w:name="_Toc4581266"/>
      <w:r w:rsidRPr="00AE5C99">
        <w:rPr>
          <w:noProof/>
          <w:lang w:val="sr-Latn-CS"/>
        </w:rPr>
        <w:t>HRONOLOGIJA IZRADE TEHNIČKE DOKUMENTACIJE I PRIBAVLJANJE ODOBRENJA I SAGLASNOSTI ZA IZVOĐENJE RUDARSKIH RADOVA</w:t>
      </w:r>
      <w:bookmarkEnd w:id="51"/>
      <w:bookmarkEnd w:id="52"/>
      <w:bookmarkEnd w:id="53"/>
    </w:p>
    <w:p w:rsidR="00A700A0" w:rsidRPr="00AE5C99" w:rsidRDefault="00A700A0" w:rsidP="00AE5C99">
      <w:pPr>
        <w:spacing w:after="0" w:line="240" w:lineRule="auto"/>
        <w:rPr>
          <w:rFonts w:ascii="Arial" w:hAnsi="Arial" w:cs="Arial"/>
          <w:noProof/>
          <w:lang w:val="sr-Latn-CS"/>
        </w:rPr>
      </w:pPr>
    </w:p>
    <w:p w:rsidR="005F6969" w:rsidRPr="00AE5C99" w:rsidRDefault="007D7746" w:rsidP="00AE5C99">
      <w:pPr>
        <w:pStyle w:val="ListParagraph"/>
        <w:tabs>
          <w:tab w:val="left" w:pos="1980"/>
        </w:tabs>
        <w:spacing w:after="0" w:line="240" w:lineRule="auto"/>
        <w:ind w:left="0"/>
        <w:contextualSpacing w:val="0"/>
        <w:jc w:val="both"/>
        <w:rPr>
          <w:rFonts w:ascii="Arial" w:hAnsi="Arial" w:cs="Arial"/>
          <w:noProof/>
          <w:lang w:val="sr-Latn-CS"/>
        </w:rPr>
      </w:pPr>
      <w:r w:rsidRPr="00AE5C99">
        <w:rPr>
          <w:rFonts w:ascii="Arial" w:hAnsi="Arial" w:cs="Arial"/>
          <w:b/>
          <w:noProof/>
          <w:lang w:val="sr-Latn-CS"/>
        </w:rPr>
        <w:t>Korak 1</w:t>
      </w:r>
      <w:r w:rsidR="00785C23" w:rsidRPr="00AE5C99">
        <w:rPr>
          <w:rFonts w:ascii="Arial" w:hAnsi="Arial" w:cs="Arial"/>
          <w:noProof/>
          <w:lang w:val="sr-Latn-CS"/>
        </w:rPr>
        <w:t>.</w:t>
      </w:r>
      <w:r w:rsidRPr="00AE5C99">
        <w:rPr>
          <w:rFonts w:ascii="Arial" w:hAnsi="Arial" w:cs="Arial"/>
          <w:noProof/>
          <w:lang w:val="sr-Latn-CS"/>
        </w:rPr>
        <w:t xml:space="preserve"> </w:t>
      </w:r>
      <w:r w:rsidR="005F6969" w:rsidRPr="00AE5C99">
        <w:rPr>
          <w:rFonts w:ascii="Arial" w:hAnsi="Arial" w:cs="Arial"/>
          <w:noProof/>
          <w:lang w:val="sr-Latn-CS"/>
        </w:rPr>
        <w:t xml:space="preserve">Izdavanje Licence za izvođenje rudarskih radova; </w:t>
      </w:r>
    </w:p>
    <w:p w:rsidR="005F6969" w:rsidRPr="00AE5C99" w:rsidRDefault="007B4C3A" w:rsidP="00AE5C99">
      <w:pPr>
        <w:pStyle w:val="ListParagraph"/>
        <w:tabs>
          <w:tab w:val="left" w:pos="1980"/>
        </w:tabs>
        <w:spacing w:after="0" w:line="240" w:lineRule="auto"/>
        <w:ind w:left="0"/>
        <w:contextualSpacing w:val="0"/>
        <w:jc w:val="both"/>
        <w:rPr>
          <w:rFonts w:ascii="Arial" w:hAnsi="Arial" w:cs="Arial"/>
          <w:noProof/>
          <w:lang w:val="sr-Latn-CS"/>
        </w:rPr>
      </w:pPr>
      <w:r w:rsidRPr="00AE5C99">
        <w:rPr>
          <w:rFonts w:ascii="Arial" w:hAnsi="Arial" w:cs="Arial"/>
          <w:b/>
          <w:noProof/>
          <w:lang w:val="sr-Latn-CS"/>
        </w:rPr>
        <w:t>Korak 2</w:t>
      </w:r>
      <w:r w:rsidR="00785C23" w:rsidRPr="00AE5C99">
        <w:rPr>
          <w:rFonts w:ascii="Arial" w:hAnsi="Arial" w:cs="Arial"/>
          <w:b/>
          <w:noProof/>
          <w:lang w:val="sr-Latn-CS"/>
        </w:rPr>
        <w:t>.</w:t>
      </w:r>
      <w:r w:rsidR="007D7746" w:rsidRPr="00AE5C99">
        <w:rPr>
          <w:rFonts w:ascii="Arial" w:hAnsi="Arial" w:cs="Arial"/>
          <w:noProof/>
          <w:lang w:val="sr-Latn-CS"/>
        </w:rPr>
        <w:t xml:space="preserve"> </w:t>
      </w:r>
      <w:r w:rsidR="005F6969" w:rsidRPr="00AE5C99">
        <w:rPr>
          <w:rFonts w:ascii="Arial" w:hAnsi="Arial" w:cs="Arial"/>
          <w:noProof/>
          <w:lang w:val="sr-Latn-CS"/>
        </w:rPr>
        <w:t>Izrada rudarskog projekta i njegova revizija od strane Ministarstva ekonomije;</w:t>
      </w:r>
    </w:p>
    <w:p w:rsidR="005F6969" w:rsidRPr="00AE5C99" w:rsidRDefault="007B4C3A" w:rsidP="00AE5C99">
      <w:pPr>
        <w:pStyle w:val="ListParagraph"/>
        <w:tabs>
          <w:tab w:val="left" w:pos="1980"/>
        </w:tabs>
        <w:spacing w:after="0" w:line="240" w:lineRule="auto"/>
        <w:ind w:left="0"/>
        <w:contextualSpacing w:val="0"/>
        <w:jc w:val="both"/>
        <w:rPr>
          <w:rFonts w:ascii="Arial" w:hAnsi="Arial" w:cs="Arial"/>
          <w:noProof/>
          <w:lang w:val="sr-Latn-CS"/>
        </w:rPr>
      </w:pPr>
      <w:r w:rsidRPr="00AE5C99">
        <w:rPr>
          <w:rFonts w:ascii="Arial" w:hAnsi="Arial" w:cs="Arial"/>
          <w:b/>
          <w:noProof/>
          <w:lang w:val="sr-Latn-CS"/>
        </w:rPr>
        <w:t>Korak 3</w:t>
      </w:r>
      <w:r w:rsidR="00785C23" w:rsidRPr="00AE5C99">
        <w:rPr>
          <w:rFonts w:ascii="Arial" w:hAnsi="Arial" w:cs="Arial"/>
          <w:b/>
          <w:noProof/>
          <w:lang w:val="sr-Latn-CS"/>
        </w:rPr>
        <w:t>.</w:t>
      </w:r>
      <w:r w:rsidR="007D7746" w:rsidRPr="00AE5C99">
        <w:rPr>
          <w:rFonts w:ascii="Arial" w:hAnsi="Arial" w:cs="Arial"/>
          <w:noProof/>
          <w:lang w:val="sr-Latn-CS"/>
        </w:rPr>
        <w:t xml:space="preserve"> </w:t>
      </w:r>
      <w:r w:rsidR="005F6969" w:rsidRPr="00AE5C99">
        <w:rPr>
          <w:rFonts w:ascii="Arial" w:hAnsi="Arial" w:cs="Arial"/>
          <w:noProof/>
          <w:lang w:val="sr-Latn-CS"/>
        </w:rPr>
        <w:t>Dobijanje odobrenja za eksploataciju mineralne sirovine na eksploatacionom polju;</w:t>
      </w:r>
    </w:p>
    <w:p w:rsidR="005F6969" w:rsidRPr="00AE5C99" w:rsidRDefault="007B4C3A" w:rsidP="00AE5C99">
      <w:pPr>
        <w:pStyle w:val="ListParagraph"/>
        <w:tabs>
          <w:tab w:val="left" w:pos="1980"/>
        </w:tabs>
        <w:spacing w:after="0" w:line="240" w:lineRule="auto"/>
        <w:ind w:left="0"/>
        <w:contextualSpacing w:val="0"/>
        <w:jc w:val="both"/>
        <w:rPr>
          <w:rFonts w:ascii="Arial" w:hAnsi="Arial" w:cs="Arial"/>
          <w:noProof/>
          <w:lang w:val="sr-Latn-CS"/>
        </w:rPr>
      </w:pPr>
      <w:r w:rsidRPr="00AE5C99">
        <w:rPr>
          <w:rFonts w:ascii="Arial" w:hAnsi="Arial" w:cs="Arial"/>
          <w:b/>
          <w:noProof/>
          <w:lang w:val="sr-Latn-CS"/>
        </w:rPr>
        <w:t>Korak 4</w:t>
      </w:r>
      <w:r w:rsidR="00785C23" w:rsidRPr="00AE5C99">
        <w:rPr>
          <w:rFonts w:ascii="Arial" w:hAnsi="Arial" w:cs="Arial"/>
          <w:noProof/>
          <w:lang w:val="sr-Latn-CS"/>
        </w:rPr>
        <w:t>.</w:t>
      </w:r>
      <w:r w:rsidR="007D7746" w:rsidRPr="00AE5C99">
        <w:rPr>
          <w:rFonts w:ascii="Arial" w:hAnsi="Arial" w:cs="Arial"/>
          <w:noProof/>
          <w:lang w:val="sr-Latn-CS"/>
        </w:rPr>
        <w:t xml:space="preserve"> </w:t>
      </w:r>
      <w:r w:rsidR="005F6969" w:rsidRPr="00AE5C99">
        <w:rPr>
          <w:rFonts w:ascii="Arial" w:hAnsi="Arial" w:cs="Arial"/>
          <w:noProof/>
          <w:lang w:val="sr-Latn-CS"/>
        </w:rPr>
        <w:t>Dobijanje odobrenja za izvođenje radova po rudarskom projektu;</w:t>
      </w:r>
    </w:p>
    <w:p w:rsidR="007B4C3A" w:rsidRPr="00AE5C99" w:rsidRDefault="007B4C3A" w:rsidP="00AE5C99">
      <w:pPr>
        <w:pStyle w:val="ListParagraph"/>
        <w:tabs>
          <w:tab w:val="left" w:pos="1980"/>
        </w:tabs>
        <w:spacing w:after="0" w:line="240" w:lineRule="auto"/>
        <w:ind w:left="0"/>
        <w:contextualSpacing w:val="0"/>
        <w:jc w:val="both"/>
        <w:rPr>
          <w:rFonts w:ascii="Arial" w:hAnsi="Arial" w:cs="Arial"/>
          <w:noProof/>
          <w:lang w:val="sr-Latn-CS"/>
        </w:rPr>
      </w:pPr>
      <w:r w:rsidRPr="00AE5C99">
        <w:rPr>
          <w:rFonts w:ascii="Arial" w:hAnsi="Arial" w:cs="Arial"/>
          <w:b/>
          <w:noProof/>
          <w:lang w:val="sr-Latn-CS"/>
        </w:rPr>
        <w:t>Korak 5</w:t>
      </w:r>
      <w:r w:rsidR="00785C23" w:rsidRPr="00AE5C99">
        <w:rPr>
          <w:rFonts w:ascii="Arial" w:hAnsi="Arial" w:cs="Arial"/>
          <w:noProof/>
          <w:lang w:val="sr-Latn-CS"/>
        </w:rPr>
        <w:t>.</w:t>
      </w:r>
      <w:r w:rsidR="007D7746" w:rsidRPr="00AE5C99">
        <w:rPr>
          <w:rFonts w:ascii="Arial" w:hAnsi="Arial" w:cs="Arial"/>
          <w:noProof/>
          <w:lang w:val="sr-Latn-CS"/>
        </w:rPr>
        <w:t xml:space="preserve"> </w:t>
      </w:r>
      <w:r w:rsidR="005F6969" w:rsidRPr="00AE5C99">
        <w:rPr>
          <w:rFonts w:ascii="Arial" w:hAnsi="Arial" w:cs="Arial"/>
          <w:noProof/>
          <w:lang w:val="sr-Latn-CS"/>
        </w:rPr>
        <w:t>Tehnički prijem rudarskih objekata.</w:t>
      </w:r>
    </w:p>
    <w:p w:rsidR="00D21EF6" w:rsidRPr="00AE5C99" w:rsidRDefault="00D21EF6" w:rsidP="00AE5C99">
      <w:pPr>
        <w:pStyle w:val="ListParagraph"/>
        <w:tabs>
          <w:tab w:val="left" w:pos="1980"/>
        </w:tabs>
        <w:spacing w:after="0" w:line="240" w:lineRule="auto"/>
        <w:ind w:left="0"/>
        <w:contextualSpacing w:val="0"/>
        <w:jc w:val="both"/>
        <w:rPr>
          <w:rFonts w:ascii="Arial" w:hAnsi="Arial" w:cs="Arial"/>
          <w:noProof/>
          <w:lang w:val="sr-Latn-CS"/>
        </w:rPr>
      </w:pPr>
    </w:p>
    <w:p w:rsidR="00D620F2" w:rsidRPr="00AE5C99" w:rsidRDefault="00323187" w:rsidP="00AE5C99">
      <w:pPr>
        <w:pStyle w:val="Heading1"/>
        <w:numPr>
          <w:ilvl w:val="0"/>
          <w:numId w:val="18"/>
        </w:numPr>
        <w:ind w:left="360"/>
        <w:rPr>
          <w:noProof/>
          <w:lang w:val="sr-Latn-CS"/>
        </w:rPr>
      </w:pPr>
      <w:bookmarkStart w:id="54" w:name="_Toc402262975"/>
      <w:bookmarkStart w:id="55" w:name="_Toc4581267"/>
      <w:r w:rsidRPr="00AE5C99">
        <w:rPr>
          <w:noProof/>
          <w:lang w:val="sr-Latn-CS"/>
        </w:rPr>
        <w:t>OSNOVNI ELEMENTI TENDERSKE DOKUMENTACIJE (JAVNI OGLAS, DOKUMENTACIJA VEZANA ZA OGLAS)</w:t>
      </w:r>
      <w:bookmarkEnd w:id="54"/>
      <w:bookmarkEnd w:id="55"/>
    </w:p>
    <w:p w:rsidR="00A700A0" w:rsidRPr="00AE5C99" w:rsidRDefault="00A700A0" w:rsidP="00AE5C99">
      <w:pPr>
        <w:spacing w:after="0" w:line="240" w:lineRule="auto"/>
        <w:jc w:val="both"/>
        <w:rPr>
          <w:rFonts w:ascii="Arial" w:hAnsi="Arial" w:cs="Arial"/>
          <w:b/>
          <w:noProof/>
          <w:lang w:val="sr-Latn-CS"/>
        </w:rPr>
      </w:pPr>
    </w:p>
    <w:p w:rsidR="00D620F2" w:rsidRPr="00AE5C99" w:rsidRDefault="00D620F2" w:rsidP="00AE5C99">
      <w:pPr>
        <w:spacing w:after="0" w:line="240" w:lineRule="auto"/>
        <w:jc w:val="both"/>
        <w:rPr>
          <w:rFonts w:ascii="Arial" w:hAnsi="Arial" w:cs="Arial"/>
          <w:b/>
          <w:noProof/>
          <w:lang w:val="sr-Latn-CS"/>
        </w:rPr>
      </w:pPr>
      <w:r w:rsidRPr="00AE5C99">
        <w:rPr>
          <w:rFonts w:ascii="Arial" w:hAnsi="Arial" w:cs="Arial"/>
          <w:b/>
          <w:noProof/>
          <w:lang w:val="sr-Latn-CS"/>
        </w:rPr>
        <w:t>Tendersku dokumentaciju čine sljedeća dokumenta:</w:t>
      </w:r>
    </w:p>
    <w:p w:rsidR="00A700A0" w:rsidRPr="00AE5C99" w:rsidRDefault="00A700A0" w:rsidP="00AE5C99">
      <w:pPr>
        <w:spacing w:after="0" w:line="240" w:lineRule="auto"/>
        <w:jc w:val="both"/>
        <w:rPr>
          <w:rFonts w:ascii="Arial" w:hAnsi="Arial" w:cs="Arial"/>
          <w:b/>
          <w:noProof/>
          <w:lang w:val="sr-Latn-CS"/>
        </w:rPr>
      </w:pPr>
    </w:p>
    <w:p w:rsidR="00D620F2" w:rsidRPr="00AE5C99" w:rsidRDefault="00D620F2" w:rsidP="00AE5C99">
      <w:pPr>
        <w:pStyle w:val="ListParagraph"/>
        <w:numPr>
          <w:ilvl w:val="0"/>
          <w:numId w:val="1"/>
        </w:numPr>
        <w:suppressAutoHyphens/>
        <w:spacing w:after="0" w:line="240" w:lineRule="auto"/>
        <w:jc w:val="both"/>
        <w:rPr>
          <w:rFonts w:ascii="Arial" w:hAnsi="Arial" w:cs="Arial"/>
          <w:noProof/>
          <w:lang w:val="sr-Latn-CS"/>
        </w:rPr>
      </w:pPr>
      <w:r w:rsidRPr="00AE5C99">
        <w:rPr>
          <w:rFonts w:ascii="Arial" w:hAnsi="Arial" w:cs="Arial"/>
          <w:noProof/>
          <w:lang w:val="sr-Latn-CS"/>
        </w:rPr>
        <w:t>Koncesioni akt;</w:t>
      </w:r>
    </w:p>
    <w:p w:rsidR="00D620F2" w:rsidRPr="00AE5C99" w:rsidRDefault="00D620F2" w:rsidP="00AE5C99">
      <w:pPr>
        <w:pStyle w:val="ListParagraph"/>
        <w:numPr>
          <w:ilvl w:val="0"/>
          <w:numId w:val="1"/>
        </w:numPr>
        <w:suppressAutoHyphens/>
        <w:spacing w:after="0" w:line="240" w:lineRule="auto"/>
        <w:jc w:val="both"/>
        <w:rPr>
          <w:rFonts w:ascii="Arial" w:hAnsi="Arial" w:cs="Arial"/>
          <w:noProof/>
          <w:lang w:val="sr-Latn-CS"/>
        </w:rPr>
      </w:pPr>
      <w:r w:rsidRPr="00AE5C99">
        <w:rPr>
          <w:rFonts w:ascii="Arial" w:hAnsi="Arial" w:cs="Arial"/>
          <w:noProof/>
          <w:lang w:val="sr-Latn-CS"/>
        </w:rPr>
        <w:t>Dokumentacija vezana uz ponudu;</w:t>
      </w:r>
    </w:p>
    <w:p w:rsidR="00D620F2" w:rsidRPr="00AE5C99" w:rsidRDefault="00D620F2" w:rsidP="00AE5C99">
      <w:pPr>
        <w:pStyle w:val="ListParagraph"/>
        <w:numPr>
          <w:ilvl w:val="0"/>
          <w:numId w:val="1"/>
        </w:numPr>
        <w:suppressAutoHyphens/>
        <w:spacing w:after="0" w:line="240" w:lineRule="auto"/>
        <w:jc w:val="both"/>
        <w:rPr>
          <w:rFonts w:ascii="Arial" w:hAnsi="Arial" w:cs="Arial"/>
          <w:noProof/>
          <w:lang w:val="sr-Latn-CS"/>
        </w:rPr>
      </w:pPr>
      <w:r w:rsidRPr="00AE5C99">
        <w:rPr>
          <w:rFonts w:ascii="Arial" w:hAnsi="Arial" w:cs="Arial"/>
          <w:noProof/>
          <w:lang w:val="sr-Latn-CS"/>
        </w:rPr>
        <w:t>Javni oglas,</w:t>
      </w:r>
    </w:p>
    <w:p w:rsidR="00D620F2" w:rsidRPr="00AE5C99" w:rsidRDefault="00D620F2" w:rsidP="00AE5C99">
      <w:pPr>
        <w:pStyle w:val="ListParagraph"/>
        <w:numPr>
          <w:ilvl w:val="0"/>
          <w:numId w:val="1"/>
        </w:numPr>
        <w:suppressAutoHyphens/>
        <w:spacing w:after="0" w:line="240" w:lineRule="auto"/>
        <w:jc w:val="both"/>
        <w:rPr>
          <w:rFonts w:ascii="Arial" w:hAnsi="Arial" w:cs="Arial"/>
          <w:noProof/>
          <w:lang w:val="sr-Latn-CS"/>
        </w:rPr>
      </w:pPr>
      <w:r w:rsidRPr="00AE5C99">
        <w:rPr>
          <w:rFonts w:ascii="Arial" w:hAnsi="Arial" w:cs="Arial"/>
          <w:noProof/>
          <w:lang w:val="sr-Latn-CS"/>
        </w:rPr>
        <w:t>Uputstvo za podnošenje ponuda i</w:t>
      </w:r>
    </w:p>
    <w:p w:rsidR="00D620F2" w:rsidRPr="00AE5C99" w:rsidRDefault="00D620F2" w:rsidP="00AE5C99">
      <w:pPr>
        <w:pStyle w:val="ListParagraph"/>
        <w:numPr>
          <w:ilvl w:val="0"/>
          <w:numId w:val="1"/>
        </w:numPr>
        <w:suppressAutoHyphens/>
        <w:spacing w:after="0" w:line="240" w:lineRule="auto"/>
        <w:jc w:val="both"/>
        <w:rPr>
          <w:rFonts w:ascii="Arial" w:hAnsi="Arial" w:cs="Arial"/>
          <w:noProof/>
          <w:lang w:val="sr-Latn-CS"/>
        </w:rPr>
      </w:pPr>
      <w:r w:rsidRPr="00AE5C99">
        <w:rPr>
          <w:rFonts w:ascii="Arial" w:hAnsi="Arial" w:cs="Arial"/>
          <w:noProof/>
          <w:lang w:val="sr-Latn-CS"/>
        </w:rPr>
        <w:t>Nacrt ugovora o koncesiji.</w:t>
      </w:r>
      <w:bookmarkStart w:id="56" w:name="_Toc401959458"/>
      <w:bookmarkStart w:id="57" w:name="_Toc401959551"/>
      <w:bookmarkStart w:id="58" w:name="_Toc435529039"/>
      <w:bookmarkStart w:id="59" w:name="_Toc436124916"/>
    </w:p>
    <w:p w:rsidR="00A700A0" w:rsidRPr="00AE5C99" w:rsidRDefault="00A700A0" w:rsidP="00AE5C99">
      <w:pPr>
        <w:suppressAutoHyphens/>
        <w:spacing w:after="0" w:line="240" w:lineRule="auto"/>
        <w:jc w:val="both"/>
        <w:rPr>
          <w:rFonts w:ascii="Arial" w:hAnsi="Arial" w:cs="Arial"/>
          <w:noProof/>
          <w:lang w:val="sr-Latn-CS"/>
        </w:rPr>
      </w:pPr>
    </w:p>
    <w:p w:rsidR="00D620F2" w:rsidRPr="00AE5C99" w:rsidRDefault="00D620F2" w:rsidP="00AE5C99">
      <w:pPr>
        <w:pStyle w:val="Heading2"/>
        <w:numPr>
          <w:ilvl w:val="1"/>
          <w:numId w:val="0"/>
        </w:numPr>
        <w:spacing w:before="0" w:after="0" w:line="240" w:lineRule="auto"/>
        <w:ind w:left="576" w:hanging="576"/>
        <w:rPr>
          <w:b/>
          <w:i/>
          <w:noProof/>
          <w:lang w:val="sr-Latn-CS"/>
        </w:rPr>
      </w:pPr>
      <w:r w:rsidRPr="00AE5C99">
        <w:rPr>
          <w:b/>
          <w:i/>
          <w:noProof/>
          <w:lang w:val="sr-Latn-CS"/>
        </w:rPr>
        <w:t>1</w:t>
      </w:r>
      <w:r w:rsidR="00E21B44" w:rsidRPr="00AE5C99">
        <w:rPr>
          <w:b/>
          <w:i/>
          <w:noProof/>
          <w:lang w:val="sr-Latn-CS"/>
        </w:rPr>
        <w:t>2</w:t>
      </w:r>
      <w:r w:rsidRPr="00AE5C99">
        <w:rPr>
          <w:b/>
          <w:i/>
          <w:noProof/>
          <w:lang w:val="sr-Latn-CS"/>
        </w:rPr>
        <w:t>.1</w:t>
      </w:r>
      <w:r w:rsidR="00781B19" w:rsidRPr="00AE5C99">
        <w:rPr>
          <w:b/>
          <w:i/>
          <w:noProof/>
          <w:lang w:val="sr-Latn-CS"/>
        </w:rPr>
        <w:t>.</w:t>
      </w:r>
      <w:r w:rsidRPr="00AE5C99">
        <w:rPr>
          <w:b/>
          <w:i/>
          <w:noProof/>
          <w:lang w:val="sr-Latn-CS"/>
        </w:rPr>
        <w:t xml:space="preserve"> Dokumentacija koja se prilaže uz ponudu</w:t>
      </w:r>
      <w:bookmarkEnd w:id="56"/>
      <w:bookmarkEnd w:id="57"/>
      <w:bookmarkEnd w:id="58"/>
      <w:bookmarkEnd w:id="59"/>
    </w:p>
    <w:p w:rsidR="00A700A0" w:rsidRPr="00AE5C99" w:rsidRDefault="00A700A0" w:rsidP="00AE5C99">
      <w:pPr>
        <w:spacing w:after="0" w:line="240" w:lineRule="auto"/>
        <w:jc w:val="both"/>
        <w:rPr>
          <w:rFonts w:ascii="Arial" w:hAnsi="Arial" w:cs="Arial"/>
          <w:noProof/>
          <w:lang w:val="sr-Latn-CS"/>
        </w:rPr>
      </w:pPr>
    </w:p>
    <w:p w:rsidR="00D21EF6" w:rsidRPr="00AE5C99" w:rsidRDefault="0044322A" w:rsidP="00AE5C99">
      <w:pPr>
        <w:spacing w:after="0" w:line="240" w:lineRule="auto"/>
        <w:jc w:val="both"/>
        <w:rPr>
          <w:rFonts w:ascii="Arial" w:hAnsi="Arial" w:cs="Arial"/>
          <w:noProof/>
          <w:lang w:val="sr-Latn-CS"/>
        </w:rPr>
      </w:pPr>
      <w:r w:rsidRPr="00AE5C99">
        <w:rPr>
          <w:rFonts w:ascii="Arial" w:hAnsi="Arial" w:cs="Arial"/>
          <w:noProof/>
          <w:lang w:val="sr-Latn-CS"/>
        </w:rPr>
        <w:t>Shodno članu 23 Zakona o koncesijama nepodobni da učestvuju na javnom nadmetanju za davanje koncesije su:</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pStyle w:val="ListParagraph"/>
        <w:numPr>
          <w:ilvl w:val="0"/>
          <w:numId w:val="15"/>
        </w:numPr>
        <w:spacing w:after="0" w:line="240" w:lineRule="auto"/>
        <w:ind w:left="360"/>
        <w:contextualSpacing w:val="0"/>
        <w:jc w:val="both"/>
        <w:rPr>
          <w:rFonts w:ascii="Arial" w:hAnsi="Arial" w:cs="Arial"/>
          <w:noProof/>
          <w:lang w:val="sr-Latn-CS"/>
        </w:rPr>
      </w:pPr>
      <w:r w:rsidRPr="00AE5C99">
        <w:rPr>
          <w:rFonts w:ascii="Arial" w:hAnsi="Arial" w:cs="Arial"/>
          <w:noProof/>
          <w:lang w:val="sr-Latn-CS"/>
        </w:rPr>
        <w:t>privredna društva, druga pravna lica i preduzetnici nad kojima je pokrenut postupak stečaja ili likvidacije, osim postupka reorganizacije u skladu sa zakonom kojim je uređena insolventnost privrednih društava;</w:t>
      </w:r>
    </w:p>
    <w:p w:rsidR="0044322A" w:rsidRPr="00AE5C99" w:rsidRDefault="0044322A" w:rsidP="00AE5C99">
      <w:pPr>
        <w:pStyle w:val="ListParagraph"/>
        <w:numPr>
          <w:ilvl w:val="0"/>
          <w:numId w:val="8"/>
        </w:numPr>
        <w:spacing w:after="0" w:line="240" w:lineRule="auto"/>
        <w:ind w:left="360"/>
        <w:contextualSpacing w:val="0"/>
        <w:jc w:val="both"/>
        <w:rPr>
          <w:rFonts w:ascii="Arial" w:hAnsi="Arial" w:cs="Arial"/>
          <w:noProof/>
          <w:lang w:val="sr-Latn-CS"/>
        </w:rPr>
      </w:pPr>
      <w:r w:rsidRPr="00AE5C99">
        <w:rPr>
          <w:rFonts w:ascii="Arial" w:hAnsi="Arial" w:cs="Arial"/>
          <w:noProof/>
          <w:lang w:val="sr-Latn-CS"/>
        </w:rPr>
        <w:t>privredna društva, druga pravna lica, preduzetnici i fizička lica koja su pravosnažnom presudom osuđena za krivično djelo izvršeno u vršenju profesionalne djelatnosti;</w:t>
      </w:r>
    </w:p>
    <w:p w:rsidR="0044322A" w:rsidRPr="00AE5C99" w:rsidRDefault="0044322A" w:rsidP="00AE5C99">
      <w:pPr>
        <w:pStyle w:val="ListParagraph"/>
        <w:numPr>
          <w:ilvl w:val="0"/>
          <w:numId w:val="17"/>
        </w:numPr>
        <w:spacing w:after="0" w:line="240" w:lineRule="auto"/>
        <w:ind w:left="360"/>
        <w:contextualSpacing w:val="0"/>
        <w:jc w:val="both"/>
        <w:rPr>
          <w:rFonts w:ascii="Arial" w:hAnsi="Arial" w:cs="Arial"/>
          <w:noProof/>
          <w:lang w:val="sr-Latn-CS"/>
        </w:rPr>
      </w:pPr>
      <w:r w:rsidRPr="00AE5C99">
        <w:rPr>
          <w:rFonts w:ascii="Arial" w:hAnsi="Arial" w:cs="Arial"/>
          <w:noProof/>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noProof/>
          <w:lang w:val="sr-Latn-CS"/>
        </w:rPr>
        <w:t>S tim u vezi, u cilju dokazivanja da je ponuđač podoban da učestvuje u postupku jav</w:t>
      </w:r>
      <w:r w:rsidR="002637DE" w:rsidRPr="00AE5C99">
        <w:rPr>
          <w:rFonts w:ascii="Arial" w:hAnsi="Arial" w:cs="Arial"/>
          <w:noProof/>
          <w:lang w:val="sr-Latn-CS"/>
        </w:rPr>
        <w:t>n</w:t>
      </w:r>
      <w:r w:rsidRPr="00AE5C99">
        <w:rPr>
          <w:rFonts w:ascii="Arial" w:hAnsi="Arial" w:cs="Arial"/>
          <w:noProof/>
          <w:lang w:val="sr-Latn-CS"/>
        </w:rPr>
        <w:t>og nadmetanja, neophodno je dostaviti sljedeću dokumentaciju:</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pStyle w:val="ListParagraph"/>
        <w:numPr>
          <w:ilvl w:val="0"/>
          <w:numId w:val="17"/>
        </w:numPr>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Izvod iz sudskog, ili drugog odgovarajućeg registra države u kojoj ponuđač ima sjedište- dokaz izdaje CRPS;</w:t>
      </w:r>
    </w:p>
    <w:p w:rsidR="0044322A" w:rsidRPr="00AE5C99" w:rsidRDefault="0044322A" w:rsidP="00AE5C99">
      <w:pPr>
        <w:pStyle w:val="ListParagraph"/>
        <w:numPr>
          <w:ilvl w:val="0"/>
          <w:numId w:val="10"/>
        </w:numPr>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dokaz da protiv privrednog društva, drugog pravnog lica i preduzetnika nije pokrenut postupak stečaja - dokaz/potvrdu izdaje Privredni sud;</w:t>
      </w:r>
    </w:p>
    <w:p w:rsidR="0044322A" w:rsidRPr="00AE5C99" w:rsidRDefault="0044322A" w:rsidP="00AE5C99">
      <w:pPr>
        <w:pStyle w:val="ListParagraph"/>
        <w:numPr>
          <w:ilvl w:val="0"/>
          <w:numId w:val="10"/>
        </w:numPr>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dokaz da privredno društvo, drugo pravno lica i preduzetnik nijesu pokrenuli postupak dobrovoljne likvidacije - dokaz/potvrdu izdaje CRPS;</w:t>
      </w:r>
    </w:p>
    <w:p w:rsidR="0044322A" w:rsidRPr="00AE5C99" w:rsidRDefault="0044322A" w:rsidP="00AE5C99">
      <w:pPr>
        <w:pStyle w:val="ListParagraph"/>
        <w:numPr>
          <w:ilvl w:val="0"/>
          <w:numId w:val="10"/>
        </w:numPr>
        <w:spacing w:after="0" w:line="240" w:lineRule="auto"/>
        <w:contextualSpacing w:val="0"/>
        <w:jc w:val="both"/>
        <w:rPr>
          <w:rFonts w:ascii="Arial" w:eastAsia="Times New Roman" w:hAnsi="Arial" w:cs="Arial"/>
          <w:noProof/>
          <w:u w:val="single"/>
          <w:lang w:val="sr-Latn-CS"/>
        </w:rPr>
      </w:pPr>
      <w:r w:rsidRPr="00AE5C99">
        <w:rPr>
          <w:rFonts w:ascii="Arial" w:eastAsia="Times New Roman" w:hAnsi="Arial" w:cs="Arial"/>
          <w:noProof/>
          <w:lang w:val="sr-Latn-CS"/>
        </w:rPr>
        <w:lastRenderedPageBreak/>
        <w:t xml:space="preserve">dokaz da privredno društvo, drugo pravno lice, preduzetnik i fizičko lice nije pravosnažno osuđeno za krivično djelo izvršeno u vršenju profesionalne djelatnosti – </w:t>
      </w:r>
      <w:r w:rsidRPr="00AE5C99">
        <w:rPr>
          <w:rFonts w:ascii="Arial" w:eastAsia="Times New Roman" w:hAnsi="Arial" w:cs="Arial"/>
          <w:noProof/>
          <w:u w:val="single"/>
          <w:lang w:val="sr-Latn-CS"/>
        </w:rPr>
        <w:t>dokaz/potvrdu za privredno društvo, drugo pravno lice i preduzetnika izdaje Ministarstvo pravde,</w:t>
      </w:r>
      <w:r w:rsidRPr="00AE5C99">
        <w:rPr>
          <w:rFonts w:ascii="Arial" w:eastAsia="Times New Roman" w:hAnsi="Arial" w:cs="Arial"/>
          <w:noProof/>
          <w:lang w:val="sr-Latn-CS"/>
        </w:rPr>
        <w:t xml:space="preserve"> a za fizička lica dokaz/potvrdu izdaje </w:t>
      </w:r>
      <w:r w:rsidRPr="00AE5C99">
        <w:rPr>
          <w:rFonts w:ascii="Arial" w:eastAsia="Times New Roman" w:hAnsi="Arial" w:cs="Arial"/>
          <w:noProof/>
          <w:u w:val="single"/>
          <w:lang w:val="sr-Latn-CS"/>
        </w:rPr>
        <w:t>nadležni Osnovni sud;</w:t>
      </w:r>
    </w:p>
    <w:p w:rsidR="0044322A" w:rsidRPr="00AE5C99" w:rsidRDefault="0044322A" w:rsidP="00AE5C99">
      <w:pPr>
        <w:pStyle w:val="ListParagraph"/>
        <w:numPr>
          <w:ilvl w:val="0"/>
          <w:numId w:val="10"/>
        </w:numPr>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dokaz da je privredno društvo, drugo pravno lice, preduzetnik i fizičko lice izmirilo obaveze po osnovu svih poreza na državnom i lokalnom nivou – dokaz/e izdaje/u poreski/e organ/i uprave na državnom i lokalnom nivou;</w:t>
      </w:r>
    </w:p>
    <w:p w:rsidR="0044322A" w:rsidRPr="00AE5C99" w:rsidRDefault="0044322A" w:rsidP="00AE5C99">
      <w:pPr>
        <w:pStyle w:val="ListParagraph"/>
        <w:numPr>
          <w:ilvl w:val="0"/>
          <w:numId w:val="10"/>
        </w:numPr>
        <w:suppressAutoHyphens/>
        <w:spacing w:after="0" w:line="240" w:lineRule="auto"/>
        <w:contextualSpacing w:val="0"/>
        <w:jc w:val="both"/>
        <w:rPr>
          <w:rFonts w:ascii="Arial" w:eastAsia="Times New Roman" w:hAnsi="Arial" w:cs="Arial"/>
          <w:noProof/>
          <w:lang w:val="sr-Latn-CS"/>
        </w:rPr>
      </w:pPr>
      <w:r w:rsidRPr="00AE5C99">
        <w:rPr>
          <w:rFonts w:ascii="Arial" w:eastAsia="Times New Roman" w:hAnsi="Arial" w:cs="Arial"/>
          <w:noProof/>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sidRPr="00AE5C99">
        <w:rPr>
          <w:rFonts w:ascii="Arial" w:eastAsia="Times New Roman" w:hAnsi="Arial" w:cs="Arial"/>
          <w:noProof/>
          <w:u w:val="single"/>
          <w:lang w:val="sr-Latn-CS"/>
        </w:rPr>
        <w:t>dokaz/potvrdu izdaje Ministarstvo pravde</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noProof/>
          <w:lang w:val="sr-Latn-CS"/>
        </w:rPr>
        <w:t>Navedeni dokazi ne smiju biti stariji od devedeset (90) dana od dana objavljivanja oglasa.</w:t>
      </w: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noProof/>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noProof/>
          <w:lang w:val="sr-Latn-CS"/>
        </w:rPr>
        <w:t>Pored navedenog, ponuđač je dužan dostaviti i:</w:t>
      </w:r>
    </w:p>
    <w:p w:rsidR="0044322A" w:rsidRPr="00AE5C99" w:rsidRDefault="0044322A" w:rsidP="00AE5C99">
      <w:pPr>
        <w:pStyle w:val="Default"/>
        <w:widowControl w:val="0"/>
        <w:numPr>
          <w:ilvl w:val="0"/>
          <w:numId w:val="13"/>
        </w:numPr>
        <w:jc w:val="both"/>
        <w:rPr>
          <w:rFonts w:ascii="Arial" w:eastAsia="Times New Roman" w:hAnsi="Arial" w:cs="Arial"/>
          <w:noProof/>
          <w:color w:val="auto"/>
          <w:sz w:val="22"/>
          <w:szCs w:val="22"/>
          <w:lang w:val="sr-Latn-CS"/>
        </w:rPr>
      </w:pPr>
      <w:r w:rsidRPr="00AE5C99">
        <w:rPr>
          <w:rFonts w:ascii="Arial" w:eastAsia="Times New Roman" w:hAnsi="Arial" w:cs="Arial"/>
          <w:noProof/>
          <w:color w:val="auto"/>
          <w:sz w:val="22"/>
          <w:szCs w:val="22"/>
          <w:lang w:val="sr-Latn-CS"/>
        </w:rPr>
        <w:t>Bankarsku garanciju ponude u skladu sa Uputstvom za podnošenje ponuda i</w:t>
      </w:r>
    </w:p>
    <w:p w:rsidR="0044322A" w:rsidRPr="00AE5C99" w:rsidRDefault="0044322A" w:rsidP="00AE5C99">
      <w:pPr>
        <w:pStyle w:val="Default"/>
        <w:widowControl w:val="0"/>
        <w:numPr>
          <w:ilvl w:val="0"/>
          <w:numId w:val="13"/>
        </w:numPr>
        <w:jc w:val="both"/>
        <w:rPr>
          <w:rFonts w:ascii="Arial" w:eastAsia="Times New Roman" w:hAnsi="Arial" w:cs="Arial"/>
          <w:noProof/>
          <w:color w:val="auto"/>
          <w:sz w:val="22"/>
          <w:szCs w:val="22"/>
          <w:lang w:val="sr-Latn-CS"/>
        </w:rPr>
      </w:pPr>
      <w:r w:rsidRPr="00AE5C99">
        <w:rPr>
          <w:rFonts w:ascii="Arial" w:eastAsia="Times New Roman" w:hAnsi="Arial" w:cs="Arial"/>
          <w:noProof/>
          <w:color w:val="auto"/>
          <w:sz w:val="22"/>
          <w:szCs w:val="22"/>
          <w:lang w:val="sr-Latn-CS"/>
        </w:rPr>
        <w:t>Popunjeni Obrazac iz Uputstva za podnošenje ponuda.</w:t>
      </w:r>
    </w:p>
    <w:p w:rsidR="00A700A0" w:rsidRPr="00AE5C99" w:rsidRDefault="00A700A0" w:rsidP="00AE5C99">
      <w:pPr>
        <w:pStyle w:val="Default"/>
        <w:jc w:val="both"/>
        <w:rPr>
          <w:rFonts w:ascii="Arial" w:eastAsia="Times New Roman" w:hAnsi="Arial" w:cs="Arial"/>
          <w:noProof/>
          <w:color w:val="auto"/>
          <w:sz w:val="22"/>
          <w:szCs w:val="22"/>
          <w:lang w:val="sr-Latn-CS"/>
        </w:rPr>
      </w:pPr>
    </w:p>
    <w:p w:rsidR="0044322A" w:rsidRPr="00AE5C99" w:rsidRDefault="0044322A" w:rsidP="00AE5C99">
      <w:pPr>
        <w:pStyle w:val="Default"/>
        <w:jc w:val="both"/>
        <w:rPr>
          <w:rFonts w:ascii="Arial" w:hAnsi="Arial" w:cs="Arial"/>
          <w:noProof/>
          <w:color w:val="auto"/>
          <w:sz w:val="22"/>
          <w:szCs w:val="22"/>
          <w:lang w:val="sr-Latn-CS"/>
        </w:rPr>
      </w:pPr>
      <w:r w:rsidRPr="00AE5C99">
        <w:rPr>
          <w:rFonts w:ascii="Arial" w:eastAsia="Times New Roman" w:hAnsi="Arial" w:cs="Arial"/>
          <w:noProof/>
          <w:color w:val="auto"/>
          <w:sz w:val="22"/>
          <w:szCs w:val="22"/>
          <w:lang w:val="sr-Latn-CS"/>
        </w:rPr>
        <w:t xml:space="preserve">U slučaju da Ponuđač nastupa kao konzorcijum kompanija, onda je za svakog člana konzorcijuma neophodno dostaviti dokaze kojima se potvrđuje da je član </w:t>
      </w:r>
      <w:r w:rsidRPr="00AE5C99">
        <w:rPr>
          <w:rFonts w:ascii="Arial" w:hAnsi="Arial" w:cs="Arial"/>
          <w:noProof/>
          <w:color w:val="auto"/>
          <w:sz w:val="22"/>
          <w:szCs w:val="22"/>
          <w:lang w:val="sr-Latn-CS"/>
        </w:rPr>
        <w:t>podoban da učestvuje u postupku javnog nadmetanja, kao i ugovor o konzorcijumu, koji izričito predviđa:</w:t>
      </w:r>
    </w:p>
    <w:p w:rsidR="0044322A" w:rsidRPr="00AE5C99" w:rsidRDefault="0044322A" w:rsidP="00AE5C99">
      <w:pPr>
        <w:pStyle w:val="Default"/>
        <w:widowControl w:val="0"/>
        <w:numPr>
          <w:ilvl w:val="0"/>
          <w:numId w:val="14"/>
        </w:numPr>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da će svi članovi konzorcijuma biti solidarno odgovorni za izvršenje Ugovora u skladu sa njegovim uslovima; </w:t>
      </w:r>
    </w:p>
    <w:p w:rsidR="0044322A" w:rsidRPr="00AE5C99" w:rsidRDefault="0044322A" w:rsidP="00AE5C99">
      <w:pPr>
        <w:pStyle w:val="Default"/>
        <w:widowControl w:val="0"/>
        <w:numPr>
          <w:ilvl w:val="0"/>
          <w:numId w:val="14"/>
        </w:numPr>
        <w:jc w:val="both"/>
        <w:rPr>
          <w:rFonts w:ascii="Arial" w:hAnsi="Arial" w:cs="Arial"/>
          <w:noProof/>
          <w:color w:val="auto"/>
          <w:sz w:val="22"/>
          <w:szCs w:val="22"/>
          <w:lang w:val="sr-Latn-CS"/>
        </w:rPr>
      </w:pPr>
      <w:r w:rsidRPr="00AE5C99">
        <w:rPr>
          <w:rFonts w:ascii="Arial" w:hAnsi="Arial" w:cs="Arial"/>
          <w:noProof/>
          <w:color w:val="auto"/>
          <w:sz w:val="22"/>
          <w:szCs w:val="22"/>
          <w:lang w:val="sr-Latn-CS"/>
        </w:rPr>
        <w:t>procenat učešća u konzorcijumu;</w:t>
      </w:r>
    </w:p>
    <w:p w:rsidR="0044322A" w:rsidRPr="00AE5C99" w:rsidRDefault="0044322A" w:rsidP="00AE5C99">
      <w:pPr>
        <w:pStyle w:val="Default"/>
        <w:widowControl w:val="0"/>
        <w:numPr>
          <w:ilvl w:val="0"/>
          <w:numId w:val="14"/>
        </w:numPr>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obaveze svakog člana konzorcijuma i </w:t>
      </w:r>
    </w:p>
    <w:p w:rsidR="0044322A" w:rsidRPr="00AE5C99" w:rsidRDefault="0044322A" w:rsidP="00AE5C99">
      <w:pPr>
        <w:pStyle w:val="Default"/>
        <w:widowControl w:val="0"/>
        <w:numPr>
          <w:ilvl w:val="0"/>
          <w:numId w:val="14"/>
        </w:numPr>
        <w:jc w:val="both"/>
        <w:rPr>
          <w:rFonts w:ascii="Arial" w:hAnsi="Arial" w:cs="Arial"/>
          <w:noProof/>
          <w:color w:val="auto"/>
          <w:sz w:val="22"/>
          <w:szCs w:val="22"/>
          <w:lang w:val="sr-Latn-CS"/>
        </w:rPr>
      </w:pPr>
      <w:r w:rsidRPr="00AE5C99">
        <w:rPr>
          <w:rFonts w:ascii="Arial" w:hAnsi="Arial" w:cs="Arial"/>
          <w:noProof/>
          <w:color w:val="auto"/>
          <w:sz w:val="22"/>
          <w:szCs w:val="22"/>
          <w:lang w:val="sr-Latn-CS"/>
        </w:rPr>
        <w:t xml:space="preserve">ovlašćenje jednog člana koji će istupati u ime konzorcijuma. </w:t>
      </w:r>
    </w:p>
    <w:p w:rsidR="00A700A0" w:rsidRPr="00AE5C99" w:rsidRDefault="00A700A0" w:rsidP="00AE5C99">
      <w:pPr>
        <w:pStyle w:val="Default"/>
        <w:jc w:val="both"/>
        <w:rPr>
          <w:rFonts w:ascii="Arial" w:hAnsi="Arial" w:cs="Arial"/>
          <w:noProof/>
          <w:color w:val="auto"/>
          <w:sz w:val="22"/>
          <w:szCs w:val="22"/>
          <w:lang w:val="sr-Latn-CS"/>
        </w:rPr>
      </w:pPr>
    </w:p>
    <w:p w:rsidR="0044322A" w:rsidRPr="00AE5C99" w:rsidRDefault="0044322A" w:rsidP="00AE5C99">
      <w:pPr>
        <w:pStyle w:val="Default"/>
        <w:jc w:val="both"/>
        <w:rPr>
          <w:rFonts w:ascii="Arial" w:hAnsi="Arial" w:cs="Arial"/>
          <w:noProof/>
          <w:color w:val="auto"/>
          <w:sz w:val="22"/>
          <w:szCs w:val="22"/>
          <w:lang w:val="sr-Latn-CS"/>
        </w:rPr>
      </w:pPr>
      <w:r w:rsidRPr="00AE5C99">
        <w:rPr>
          <w:rFonts w:ascii="Arial" w:hAnsi="Arial" w:cs="Arial"/>
          <w:noProof/>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A700A0" w:rsidRPr="00AE5C99" w:rsidRDefault="00A700A0" w:rsidP="00AE5C99">
      <w:pPr>
        <w:pStyle w:val="Default"/>
        <w:jc w:val="both"/>
        <w:rPr>
          <w:rFonts w:ascii="Arial" w:hAnsi="Arial" w:cs="Arial"/>
          <w:noProof/>
          <w:color w:val="auto"/>
          <w:sz w:val="22"/>
          <w:szCs w:val="22"/>
          <w:lang w:val="sr-Latn-CS"/>
        </w:rPr>
      </w:pPr>
    </w:p>
    <w:p w:rsidR="00D620F2" w:rsidRPr="00AE5C99" w:rsidRDefault="00781B19" w:rsidP="00AE5C99">
      <w:pPr>
        <w:pStyle w:val="Heading2"/>
        <w:numPr>
          <w:ilvl w:val="1"/>
          <w:numId w:val="0"/>
        </w:numPr>
        <w:spacing w:before="0" w:after="0" w:line="240" w:lineRule="auto"/>
        <w:ind w:left="576" w:hanging="576"/>
        <w:rPr>
          <w:b/>
          <w:i/>
          <w:noProof/>
          <w:lang w:val="sr-Latn-CS"/>
        </w:rPr>
      </w:pPr>
      <w:bookmarkStart w:id="60" w:name="_Toc390549929"/>
      <w:bookmarkStart w:id="61" w:name="_Toc401959459"/>
      <w:bookmarkStart w:id="62" w:name="_Toc401959552"/>
      <w:bookmarkStart w:id="63" w:name="_Toc435529040"/>
      <w:bookmarkStart w:id="64" w:name="_Toc436124917"/>
      <w:r w:rsidRPr="00AE5C99">
        <w:rPr>
          <w:b/>
          <w:i/>
          <w:noProof/>
          <w:lang w:val="sr-Latn-CS"/>
        </w:rPr>
        <w:t>1</w:t>
      </w:r>
      <w:r w:rsidR="00E21B44" w:rsidRPr="00AE5C99">
        <w:rPr>
          <w:b/>
          <w:i/>
          <w:noProof/>
          <w:lang w:val="sr-Latn-CS"/>
        </w:rPr>
        <w:t>2</w:t>
      </w:r>
      <w:r w:rsidRPr="00AE5C99">
        <w:rPr>
          <w:b/>
          <w:i/>
          <w:noProof/>
          <w:lang w:val="sr-Latn-CS"/>
        </w:rPr>
        <w:t xml:space="preserve">.2. </w:t>
      </w:r>
      <w:r w:rsidR="00D620F2" w:rsidRPr="00AE5C99">
        <w:rPr>
          <w:b/>
          <w:i/>
          <w:noProof/>
          <w:lang w:val="sr-Latn-CS"/>
        </w:rPr>
        <w:t>Javni oglas</w:t>
      </w:r>
      <w:bookmarkEnd w:id="60"/>
      <w:bookmarkEnd w:id="61"/>
      <w:bookmarkEnd w:id="62"/>
      <w:bookmarkEnd w:id="63"/>
      <w:bookmarkEnd w:id="64"/>
    </w:p>
    <w:p w:rsidR="00A700A0" w:rsidRPr="00AE5C99" w:rsidRDefault="00A700A0" w:rsidP="00AE5C99">
      <w:pPr>
        <w:spacing w:after="0" w:line="240" w:lineRule="auto"/>
        <w:jc w:val="both"/>
        <w:rPr>
          <w:rFonts w:ascii="Arial" w:eastAsia="Times New Roman" w:hAnsi="Arial" w:cs="Arial"/>
          <w:noProof/>
          <w:lang w:val="sr-Latn-CS"/>
        </w:rPr>
      </w:pPr>
    </w:p>
    <w:p w:rsidR="00DC0935" w:rsidRPr="00AE5C99" w:rsidRDefault="00D620F2" w:rsidP="00AE5C99">
      <w:p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 xml:space="preserve">Javni oglas, u skladu sa članom 21 Zakona </w:t>
      </w:r>
      <w:r w:rsidR="002637DE" w:rsidRPr="00AE5C99">
        <w:rPr>
          <w:rFonts w:ascii="Arial" w:eastAsia="Times New Roman" w:hAnsi="Arial" w:cs="Arial"/>
          <w:noProof/>
          <w:lang w:val="sr-Latn-CS"/>
        </w:rPr>
        <w:t>o koncesijama, objavljuje se u „</w:t>
      </w:r>
      <w:r w:rsidRPr="00AE5C99">
        <w:rPr>
          <w:rFonts w:ascii="Arial" w:eastAsia="Times New Roman" w:hAnsi="Arial" w:cs="Arial"/>
          <w:noProof/>
          <w:lang w:val="sr-Latn-CS"/>
        </w:rPr>
        <w:t>Službenom listu Crne Gore”, najmanje u jednom dnevnom štampanom mediju koji se distribuira na te</w:t>
      </w:r>
      <w:r w:rsidR="002637DE" w:rsidRPr="00AE5C99">
        <w:rPr>
          <w:rFonts w:ascii="Arial" w:eastAsia="Times New Roman" w:hAnsi="Arial" w:cs="Arial"/>
          <w:noProof/>
          <w:lang w:val="sr-Latn-CS"/>
        </w:rPr>
        <w:t>ritoriji cijele Crne Gore i na i</w:t>
      </w:r>
      <w:r w:rsidRPr="00AE5C99">
        <w:rPr>
          <w:rFonts w:ascii="Arial" w:eastAsia="Times New Roman" w:hAnsi="Arial" w:cs="Arial"/>
          <w:noProof/>
          <w:lang w:val="sr-Latn-CS"/>
        </w:rPr>
        <w:t>nternet stranici nadležnog organa, odnosno, u ovom slučaju Ministarstva ekonomije.</w:t>
      </w:r>
    </w:p>
    <w:p w:rsidR="00A700A0" w:rsidRPr="00AE5C99" w:rsidRDefault="00A700A0" w:rsidP="00AE5C99">
      <w:pPr>
        <w:spacing w:after="0" w:line="240" w:lineRule="auto"/>
        <w:jc w:val="both"/>
        <w:rPr>
          <w:rFonts w:ascii="Arial" w:eastAsia="Times New Roman" w:hAnsi="Arial" w:cs="Arial"/>
          <w:noProof/>
          <w:lang w:val="sr-Latn-CS"/>
        </w:rPr>
      </w:pPr>
    </w:p>
    <w:p w:rsidR="00D620F2" w:rsidRPr="00AE5C99" w:rsidRDefault="00D620F2" w:rsidP="00AE5C99">
      <w:p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Javni oglas za dodjelu predmetne koncesije sadrži sljedeće:</w:t>
      </w:r>
    </w:p>
    <w:p w:rsidR="00D620F2" w:rsidRPr="00AE5C99" w:rsidRDefault="00D620F2" w:rsidP="00AE5C99">
      <w:pPr>
        <w:pStyle w:val="ListParagraph"/>
        <w:numPr>
          <w:ilvl w:val="0"/>
          <w:numId w:val="23"/>
        </w:numPr>
        <w:spacing w:after="0" w:line="240" w:lineRule="auto"/>
        <w:rPr>
          <w:rFonts w:ascii="Arial" w:eastAsia="Times New Roman" w:hAnsi="Arial" w:cs="Arial"/>
          <w:noProof/>
          <w:lang w:val="sr-Latn-CS"/>
        </w:rPr>
      </w:pPr>
      <w:r w:rsidRPr="00AE5C99">
        <w:rPr>
          <w:rFonts w:ascii="Arial" w:eastAsia="Times New Roman" w:hAnsi="Arial" w:cs="Arial"/>
          <w:noProof/>
          <w:lang w:val="sr-Latn-CS"/>
        </w:rPr>
        <w:t>opis predmeta koncesije, granice istražno-eksploatacionog prostora;</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osnovne elemente Koncesionog akta;</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adresu i rok za dostavljanje ponude na Javni oglas (rok se određuje prema periodu za pripremu ponude i teče od dana objavljivanja javnog oglasa u „Službenom listu Crne Gore“ i ne može biti kraći od 30 dana);</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kriterijume za učešće na Javnom oglasu i mogućnost podnošenja zajedničke ponude;</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pravila prema kojima se Javni oglas sprovodi;</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način dostavljanja ponude;</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moguće vrijeme posjete lokacije na kojoj će se vršiti koncesiona djelatnost;</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lastRenderedPageBreak/>
        <w:t>datum, vrijeme i mjesto otvaranja prispjelih ponuda na Javni oglas;</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rok u kome se ponuda na Javni oglas može povući;</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određivanje vrste ponude (tehničke i finansijske ili samo finansijske ponude);</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podatke o visini i obliku depozita i garancije i perioda za koji se traže;</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uslove, rok i način vraćanja depozita i garancije;</w:t>
      </w:r>
    </w:p>
    <w:p w:rsidR="00D620F2" w:rsidRPr="00AE5C99" w:rsidRDefault="00D620F2" w:rsidP="00AE5C99">
      <w:pPr>
        <w:numPr>
          <w:ilvl w:val="0"/>
          <w:numId w:val="9"/>
        </w:num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ime lica zaduženog za davanje relevantnih informacija u postupku Javnog oglasa;</w:t>
      </w:r>
    </w:p>
    <w:p w:rsidR="00D620F2" w:rsidRPr="00AE5C99" w:rsidRDefault="00D620F2" w:rsidP="00AE5C99">
      <w:pPr>
        <w:numPr>
          <w:ilvl w:val="0"/>
          <w:numId w:val="9"/>
        </w:numPr>
        <w:spacing w:after="0" w:line="240" w:lineRule="auto"/>
        <w:jc w:val="both"/>
        <w:rPr>
          <w:rFonts w:ascii="Arial" w:hAnsi="Arial" w:cs="Arial"/>
          <w:noProof/>
          <w:lang w:val="sr-Latn-CS"/>
        </w:rPr>
      </w:pPr>
      <w:r w:rsidRPr="00AE5C99">
        <w:rPr>
          <w:rFonts w:ascii="Arial" w:eastAsia="Times New Roman" w:hAnsi="Arial" w:cs="Arial"/>
          <w:noProof/>
          <w:lang w:val="sr-Latn-CS"/>
        </w:rPr>
        <w:t>mjesto na kojem se može i vrijeme u kojem se može preuzeti Koncesioni akt i Tenderska dokumentacija, kao i cijena Tenderske dokumentacije u visini troškova njene izrade.</w:t>
      </w:r>
    </w:p>
    <w:p w:rsidR="00D620F2" w:rsidRPr="00AE5C99" w:rsidRDefault="00D620F2" w:rsidP="00AE5C99">
      <w:pPr>
        <w:spacing w:after="0" w:line="240" w:lineRule="auto"/>
        <w:jc w:val="both"/>
        <w:rPr>
          <w:rFonts w:ascii="Arial" w:eastAsia="Times New Roman" w:hAnsi="Arial" w:cs="Arial"/>
          <w:noProof/>
          <w:lang w:val="sr-Latn-CS"/>
        </w:rPr>
      </w:pPr>
      <w:r w:rsidRPr="00AE5C99">
        <w:rPr>
          <w:rFonts w:ascii="Arial" w:eastAsia="Times New Roman" w:hAnsi="Arial" w:cs="Arial"/>
          <w:noProof/>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65" w:name="_Toc390549930"/>
    </w:p>
    <w:p w:rsidR="00A700A0" w:rsidRPr="00AE5C99" w:rsidRDefault="00A700A0" w:rsidP="00AE5C99">
      <w:pPr>
        <w:spacing w:after="0" w:line="240" w:lineRule="auto"/>
        <w:jc w:val="both"/>
        <w:rPr>
          <w:rFonts w:ascii="Arial" w:eastAsia="Times New Roman" w:hAnsi="Arial" w:cs="Arial"/>
          <w:noProof/>
          <w:lang w:val="sr-Latn-CS"/>
        </w:rPr>
      </w:pPr>
    </w:p>
    <w:p w:rsidR="00D620F2" w:rsidRPr="00AE5C99" w:rsidRDefault="00781B19" w:rsidP="00AE5C99">
      <w:pPr>
        <w:pStyle w:val="Heading2"/>
        <w:numPr>
          <w:ilvl w:val="1"/>
          <w:numId w:val="0"/>
        </w:numPr>
        <w:spacing w:before="0" w:after="0" w:line="240" w:lineRule="auto"/>
        <w:ind w:left="576" w:hanging="576"/>
        <w:rPr>
          <w:b/>
          <w:i/>
          <w:noProof/>
          <w:lang w:val="sr-Latn-CS"/>
        </w:rPr>
      </w:pPr>
      <w:bookmarkStart w:id="66" w:name="_Toc401959460"/>
      <w:bookmarkStart w:id="67" w:name="_Toc401959553"/>
      <w:bookmarkStart w:id="68" w:name="_Toc435529041"/>
      <w:bookmarkStart w:id="69" w:name="_Toc436124918"/>
      <w:r w:rsidRPr="00AE5C99">
        <w:rPr>
          <w:b/>
          <w:i/>
          <w:noProof/>
          <w:lang w:val="sr-Latn-CS"/>
        </w:rPr>
        <w:t>1</w:t>
      </w:r>
      <w:r w:rsidR="00E21B44" w:rsidRPr="00AE5C99">
        <w:rPr>
          <w:b/>
          <w:i/>
          <w:noProof/>
          <w:lang w:val="sr-Latn-CS"/>
        </w:rPr>
        <w:t>2</w:t>
      </w:r>
      <w:r w:rsidRPr="00AE5C99">
        <w:rPr>
          <w:b/>
          <w:i/>
          <w:noProof/>
          <w:lang w:val="sr-Latn-CS"/>
        </w:rPr>
        <w:t xml:space="preserve">.3. </w:t>
      </w:r>
      <w:r w:rsidR="00D620F2" w:rsidRPr="00AE5C99">
        <w:rPr>
          <w:b/>
          <w:i/>
          <w:noProof/>
          <w:lang w:val="sr-Latn-CS"/>
        </w:rPr>
        <w:t>Ugovor o koncesiji</w:t>
      </w:r>
      <w:bookmarkEnd w:id="65"/>
      <w:bookmarkEnd w:id="66"/>
      <w:bookmarkEnd w:id="67"/>
      <w:bookmarkEnd w:id="68"/>
      <w:bookmarkEnd w:id="69"/>
    </w:p>
    <w:p w:rsidR="00A700A0" w:rsidRPr="00AE5C99" w:rsidRDefault="00A700A0" w:rsidP="00AE5C99">
      <w:pPr>
        <w:spacing w:after="0" w:line="240" w:lineRule="auto"/>
        <w:jc w:val="both"/>
        <w:rPr>
          <w:rFonts w:ascii="Arial" w:eastAsia="Times New Roman"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eastAsia="Times New Roman" w:hAnsi="Arial" w:cs="Arial"/>
          <w:noProof/>
          <w:lang w:val="sr-Latn-CS"/>
        </w:rPr>
        <w:t>Sastavni dio Tenederske dokumentacije je i Nacrt</w:t>
      </w:r>
      <w:r w:rsidRPr="00AE5C99">
        <w:rPr>
          <w:rFonts w:ascii="Arial" w:hAnsi="Arial" w:cs="Arial"/>
          <w:noProof/>
          <w:lang w:val="sr-Latn-CS"/>
        </w:rPr>
        <w:t xml:space="preserve"> ugovora o koncesiji, koji je dat kao Prilog Koncesionog akta.</w:t>
      </w:r>
    </w:p>
    <w:p w:rsidR="00A700A0" w:rsidRPr="00AE5C99" w:rsidRDefault="00A700A0" w:rsidP="00AE5C99">
      <w:pPr>
        <w:spacing w:after="0" w:line="240" w:lineRule="auto"/>
        <w:jc w:val="both"/>
        <w:rPr>
          <w:rFonts w:ascii="Arial" w:hAnsi="Arial" w:cs="Arial"/>
          <w:noProof/>
          <w:lang w:val="sr-Latn-CS"/>
        </w:rPr>
      </w:pPr>
    </w:p>
    <w:p w:rsidR="00D620F2" w:rsidRPr="00AE5C99" w:rsidRDefault="00781B19" w:rsidP="00AE5C99">
      <w:pPr>
        <w:pStyle w:val="Heading2"/>
        <w:numPr>
          <w:ilvl w:val="1"/>
          <w:numId w:val="0"/>
        </w:numPr>
        <w:spacing w:before="0" w:after="0" w:line="240" w:lineRule="auto"/>
        <w:ind w:left="576" w:hanging="576"/>
        <w:rPr>
          <w:b/>
          <w:i/>
          <w:noProof/>
          <w:lang w:val="sr-Latn-CS"/>
        </w:rPr>
      </w:pPr>
      <w:bookmarkStart w:id="70" w:name="_Toc390549931"/>
      <w:bookmarkStart w:id="71" w:name="_Toc401959461"/>
      <w:bookmarkStart w:id="72" w:name="_Toc401959554"/>
      <w:bookmarkStart w:id="73" w:name="_Toc435529042"/>
      <w:bookmarkStart w:id="74" w:name="_Toc436124919"/>
      <w:r w:rsidRPr="00AE5C99">
        <w:rPr>
          <w:b/>
          <w:i/>
          <w:noProof/>
          <w:lang w:val="sr-Latn-CS"/>
        </w:rPr>
        <w:t>1</w:t>
      </w:r>
      <w:r w:rsidR="00E21B44" w:rsidRPr="00AE5C99">
        <w:rPr>
          <w:b/>
          <w:i/>
          <w:noProof/>
          <w:lang w:val="sr-Latn-CS"/>
        </w:rPr>
        <w:t>2</w:t>
      </w:r>
      <w:r w:rsidRPr="00AE5C99">
        <w:rPr>
          <w:b/>
          <w:i/>
          <w:noProof/>
          <w:lang w:val="sr-Latn-CS"/>
        </w:rPr>
        <w:t xml:space="preserve">.4. </w:t>
      </w:r>
      <w:r w:rsidR="00D620F2" w:rsidRPr="00AE5C99">
        <w:rPr>
          <w:b/>
          <w:i/>
          <w:noProof/>
          <w:lang w:val="sr-Latn-CS"/>
        </w:rPr>
        <w:t>Uputstvo za podnošenje ponuda</w:t>
      </w:r>
      <w:bookmarkEnd w:id="70"/>
      <w:bookmarkEnd w:id="71"/>
      <w:bookmarkEnd w:id="72"/>
      <w:bookmarkEnd w:id="73"/>
      <w:bookmarkEnd w:id="74"/>
    </w:p>
    <w:p w:rsidR="00A700A0" w:rsidRPr="00AE5C99" w:rsidRDefault="00A700A0" w:rsidP="00AE5C99">
      <w:pPr>
        <w:spacing w:after="0" w:line="240" w:lineRule="auto"/>
        <w:jc w:val="both"/>
        <w:rPr>
          <w:rFonts w:ascii="Arial" w:eastAsia="Times New Roman" w:hAnsi="Arial" w:cs="Arial"/>
          <w:noProof/>
          <w:lang w:val="sr-Latn-CS"/>
        </w:rPr>
      </w:pPr>
    </w:p>
    <w:p w:rsidR="00D620F2" w:rsidRPr="00AE5C99" w:rsidRDefault="00D620F2" w:rsidP="00AE5C99">
      <w:pPr>
        <w:spacing w:after="0" w:line="240" w:lineRule="auto"/>
        <w:jc w:val="both"/>
        <w:rPr>
          <w:rFonts w:ascii="Arial" w:hAnsi="Arial" w:cs="Arial"/>
          <w:noProof/>
          <w:lang w:val="sr-Latn-CS"/>
        </w:rPr>
      </w:pPr>
      <w:r w:rsidRPr="00AE5C99">
        <w:rPr>
          <w:rFonts w:ascii="Arial" w:eastAsia="Times New Roman" w:hAnsi="Arial" w:cs="Arial"/>
          <w:noProof/>
          <w:lang w:val="sr-Latn-CS"/>
        </w:rPr>
        <w:t xml:space="preserve">Sastavni dio Tenederske dokumentacije je i </w:t>
      </w:r>
      <w:r w:rsidRPr="00AE5C99">
        <w:rPr>
          <w:rFonts w:ascii="Arial" w:hAnsi="Arial" w:cs="Arial"/>
          <w:noProof/>
          <w:lang w:val="sr-Latn-CS"/>
        </w:rPr>
        <w:t>Uputstvo za podnošenje ponuda, koj</w:t>
      </w:r>
      <w:r w:rsidR="002637DE" w:rsidRPr="00AE5C99">
        <w:rPr>
          <w:rFonts w:ascii="Arial" w:hAnsi="Arial" w:cs="Arial"/>
          <w:noProof/>
          <w:lang w:val="sr-Latn-CS"/>
        </w:rPr>
        <w:t>e</w:t>
      </w:r>
      <w:r w:rsidRPr="00AE5C99">
        <w:rPr>
          <w:rFonts w:ascii="Arial" w:hAnsi="Arial" w:cs="Arial"/>
          <w:noProof/>
          <w:lang w:val="sr-Latn-CS"/>
        </w:rPr>
        <w:t xml:space="preserve"> je dato kao Prilog Koncesionog akta.</w:t>
      </w:r>
    </w:p>
    <w:p w:rsidR="00544A09" w:rsidRPr="00AE5C99" w:rsidRDefault="00544A09" w:rsidP="00AE5C99">
      <w:pPr>
        <w:spacing w:after="0" w:line="240" w:lineRule="auto"/>
        <w:jc w:val="both"/>
        <w:rPr>
          <w:rFonts w:ascii="Arial" w:hAnsi="Arial" w:cs="Arial"/>
          <w:noProof/>
          <w:lang w:val="sr-Latn-CS"/>
        </w:rPr>
      </w:pPr>
    </w:p>
    <w:p w:rsidR="00D620F2" w:rsidRPr="00AE5C99" w:rsidRDefault="00323187" w:rsidP="00AE5C99">
      <w:pPr>
        <w:pStyle w:val="Heading1"/>
        <w:numPr>
          <w:ilvl w:val="0"/>
          <w:numId w:val="18"/>
        </w:numPr>
        <w:ind w:left="360"/>
        <w:jc w:val="both"/>
        <w:rPr>
          <w:noProof/>
          <w:lang w:val="sr-Latn-CS"/>
        </w:rPr>
      </w:pPr>
      <w:bookmarkStart w:id="75" w:name="_Toc4581268"/>
      <w:bookmarkStart w:id="76" w:name="_Toc401959462"/>
      <w:bookmarkStart w:id="77" w:name="_Toc401959555"/>
      <w:bookmarkStart w:id="78" w:name="_Toc435529043"/>
      <w:bookmarkStart w:id="79" w:name="_Toc436124920"/>
      <w:r w:rsidRPr="00AE5C99">
        <w:rPr>
          <w:noProof/>
          <w:lang w:val="sr-Latn-CS"/>
        </w:rPr>
        <w:t>SPISAK PROPISA KOJI SE PRIMIJENJUJU U POSTUPKU DAVANJA KONCESIJE I U VRŠENJU KONCESIONE DJELATNOSTI</w:t>
      </w:r>
      <w:bookmarkEnd w:id="75"/>
      <w:r w:rsidRPr="00AE5C99">
        <w:rPr>
          <w:noProof/>
          <w:lang w:val="sr-Latn-CS"/>
        </w:rPr>
        <w:t xml:space="preserve"> </w:t>
      </w:r>
      <w:bookmarkEnd w:id="76"/>
      <w:bookmarkEnd w:id="77"/>
      <w:bookmarkEnd w:id="78"/>
      <w:bookmarkEnd w:id="79"/>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spacing w:after="0" w:line="240" w:lineRule="auto"/>
        <w:jc w:val="both"/>
        <w:rPr>
          <w:rFonts w:ascii="Arial" w:eastAsia="Times New Roman" w:hAnsi="Arial" w:cs="Arial"/>
          <w:noProof/>
          <w:lang w:val="sr-Latn-CS"/>
        </w:rPr>
      </w:pPr>
      <w:r w:rsidRPr="00AE5C99">
        <w:rPr>
          <w:rFonts w:ascii="Arial" w:hAnsi="Arial" w:cs="Arial"/>
          <w:noProof/>
          <w:lang w:val="sr-Latn-CS"/>
        </w:rPr>
        <w:t>P</w:t>
      </w:r>
      <w:r w:rsidRPr="00AE5C99">
        <w:rPr>
          <w:rFonts w:ascii="Arial" w:eastAsia="Times New Roman" w:hAnsi="Arial" w:cs="Arial"/>
          <w:noProof/>
          <w:lang w:val="sr-Latn-CS"/>
        </w:rPr>
        <w:t>ropisi koji se primijenjuju u postupku</w:t>
      </w:r>
      <w:r w:rsidRPr="00AE5C99">
        <w:rPr>
          <w:rFonts w:ascii="Arial" w:hAnsi="Arial" w:cs="Arial"/>
          <w:noProof/>
          <w:lang w:val="sr-Latn-CS"/>
        </w:rPr>
        <w:t xml:space="preserve"> davanja koncesije i</w:t>
      </w:r>
      <w:r w:rsidRPr="00AE5C99">
        <w:rPr>
          <w:rFonts w:ascii="Arial" w:eastAsia="Times New Roman" w:hAnsi="Arial" w:cs="Arial"/>
          <w:noProof/>
          <w:lang w:val="sr-Latn-CS"/>
        </w:rPr>
        <w:t xml:space="preserve"> vršenja koncesione djelatnosti: </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k</w:t>
      </w:r>
      <w:r w:rsidR="007455EB" w:rsidRPr="00AE5C99">
        <w:rPr>
          <w:rFonts w:ascii="Arial" w:hAnsi="Arial" w:cs="Arial"/>
          <w:noProof/>
          <w:lang w:val="sr-Latn-CS"/>
        </w:rPr>
        <w:t xml:space="preserve">oncesijama (“Sl. list CG”, br. </w:t>
      </w:r>
      <w:r w:rsidRPr="00AE5C99">
        <w:rPr>
          <w:rFonts w:ascii="Arial" w:hAnsi="Arial" w:cs="Arial"/>
          <w:noProof/>
          <w:lang w:val="sr-Latn-CS"/>
        </w:rPr>
        <w:t>8/09);</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 xml:space="preserve">Uredba o bližem načinu sprovođenja postupka javnog nadmetanja u otvorenom i dvostepenom postupku davanja koncesije </w:t>
      </w:r>
      <w:r w:rsidR="007455EB" w:rsidRPr="00AE5C99">
        <w:rPr>
          <w:rFonts w:ascii="Arial" w:eastAsia="Times New Roman" w:hAnsi="Arial" w:cs="Arial"/>
          <w:noProof/>
          <w:lang w:val="sr-Latn-CS"/>
        </w:rPr>
        <w:t>(“Sl. list CG”, br. 67</w:t>
      </w:r>
      <w:r w:rsidRPr="00AE5C99">
        <w:rPr>
          <w:rFonts w:ascii="Arial" w:eastAsia="Times New Roman" w:hAnsi="Arial" w:cs="Arial"/>
          <w:noProof/>
          <w:lang w:val="sr-Latn-CS"/>
        </w:rPr>
        <w:t>/09);</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rudarstvu („Sl. list CG“, br. 65/08</w:t>
      </w:r>
      <w:r w:rsidR="007455EB" w:rsidRPr="00AE5C99">
        <w:rPr>
          <w:rFonts w:ascii="Arial" w:hAnsi="Arial" w:cs="Arial"/>
          <w:noProof/>
          <w:lang w:val="sr-Latn-CS"/>
        </w:rPr>
        <w:t>, 74/10 i 40/11</w:t>
      </w:r>
      <w:r w:rsidRPr="00AE5C99">
        <w:rPr>
          <w:rFonts w:ascii="Arial" w:hAnsi="Arial" w:cs="Arial"/>
          <w:noProof/>
          <w:lang w:val="sr-Latn-CS"/>
        </w:rPr>
        <w:t>);</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geološkim istraživanjima (‘’Sl. list RCG’’, br. 28/93, 27/94, 42/94 i 26/07 i „Sl. list CG“, br. 28/11);</w:t>
      </w:r>
    </w:p>
    <w:p w:rsidR="0044322A" w:rsidRPr="00AE5C99" w:rsidRDefault="0044322A" w:rsidP="00AE5C99">
      <w:pPr>
        <w:pStyle w:val="ListParagraph"/>
        <w:numPr>
          <w:ilvl w:val="0"/>
          <w:numId w:val="16"/>
        </w:numPr>
        <w:suppressAutoHyphens/>
        <w:spacing w:after="0" w:line="240" w:lineRule="auto"/>
        <w:jc w:val="both"/>
        <w:rPr>
          <w:rFonts w:ascii="Arial" w:eastAsia="Times New Roman" w:hAnsi="Arial" w:cs="Arial"/>
          <w:noProof/>
          <w:lang w:val="sr-Latn-CS"/>
        </w:rPr>
      </w:pPr>
      <w:r w:rsidRPr="00AE5C99">
        <w:rPr>
          <w:rFonts w:ascii="Arial" w:hAnsi="Arial" w:cs="Arial"/>
          <w:noProof/>
          <w:lang w:val="sr-Latn-CS"/>
        </w:rPr>
        <w:t>Zakon o zaštiti i zdravlju na radu  („Sl. list CG“, br. 34/14);</w:t>
      </w:r>
    </w:p>
    <w:p w:rsidR="0044322A" w:rsidRPr="00AE5C99" w:rsidRDefault="0044322A" w:rsidP="00AE5C99">
      <w:pPr>
        <w:pStyle w:val="ListParagraph"/>
        <w:numPr>
          <w:ilvl w:val="0"/>
          <w:numId w:val="16"/>
        </w:numPr>
        <w:suppressAutoHyphens/>
        <w:spacing w:after="0" w:line="240" w:lineRule="auto"/>
        <w:jc w:val="both"/>
        <w:rPr>
          <w:rFonts w:ascii="Arial" w:eastAsia="Times New Roman" w:hAnsi="Arial" w:cs="Arial"/>
          <w:noProof/>
          <w:lang w:val="sr-Latn-CS"/>
        </w:rPr>
      </w:pPr>
      <w:r w:rsidRPr="00AE5C99">
        <w:rPr>
          <w:rFonts w:ascii="Arial" w:hAnsi="Arial" w:cs="Arial"/>
          <w:noProof/>
          <w:lang w:val="sr-Latn-CS"/>
        </w:rPr>
        <w:t>Zakon o planiranju prostora i izgradnji objekata (“Sl. list CG”, br. 64/17);</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procjeni uticaja na životnu sredinu („Sl. list RCG“, br. 80/05 i „Sl. list CG“, br. 40/10, 73/10, 40/11, 27/13 i 52/16);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zaštiti prirode („Sl. list CG“, br. 54/16);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životnoj sredini („Sl. list CG“, br. 52/16);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zaštiti kulturnih dobara Crne Gore („Sl</w:t>
      </w:r>
      <w:r w:rsidR="00635A6D" w:rsidRPr="00AE5C99">
        <w:rPr>
          <w:rFonts w:ascii="Arial" w:hAnsi="Arial" w:cs="Arial"/>
          <w:noProof/>
          <w:lang w:val="sr-Latn-CS"/>
        </w:rPr>
        <w:t xml:space="preserve">. </w:t>
      </w:r>
      <w:r w:rsidRPr="00AE5C99">
        <w:rPr>
          <w:rFonts w:ascii="Arial" w:hAnsi="Arial" w:cs="Arial"/>
          <w:noProof/>
          <w:lang w:val="sr-Latn-CS"/>
        </w:rPr>
        <w:t>list CG“, br. 49/10);</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državnoj imovini (“Sl. list CG”, br. 21/09 i 40/11);</w:t>
      </w:r>
    </w:p>
    <w:p w:rsidR="00CB48EF" w:rsidRPr="00AE5C99" w:rsidRDefault="00CB48EF"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Zakon o zaštiti konkurencije („Sl. list CG“, br. 44/12 i 13/18);</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Uredba o kriterijumima i načinu obračuna iznosa minimalne koncesione naknade za ustupanje prava na istraživanje i eksploataciju mineralnih sirovina („Sl. list CG“, br. 37/11 i 40/16);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Uredba o visini sredstava za sanaciju i rekultivaciju prostora na kojem se izvode rudarski radovi, način obračunavanja, plaćanja i korišćenja tih sredstava („Sl. list CG“, br. 51/11);</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Pravlnik o klasifikaciji, kategorizaciji i proračunu rezervi čvrstih mineralnih sirovina i vođenju evidencije o njima („Sl. list SFRJ“, br. 53/79);</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Pravilnik o rudarskim mjerenjima („Sl. list RCG“, br. 26/94);</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Pravilnik o izradi projekata geoloških istraživanja („Sl. list SRCG“, br. 09/85 i 16/85);</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Pravilnik o sadržini rudarskih projekata („Sl. list CG“, br. 74/09);</w:t>
      </w:r>
    </w:p>
    <w:p w:rsidR="004026ED" w:rsidRPr="00AE5C99" w:rsidRDefault="004026ED" w:rsidP="00AE5C99">
      <w:pPr>
        <w:pStyle w:val="ListParagraph"/>
        <w:numPr>
          <w:ilvl w:val="0"/>
          <w:numId w:val="16"/>
        </w:numPr>
        <w:suppressAutoHyphens/>
        <w:spacing w:after="0" w:line="240" w:lineRule="auto"/>
        <w:jc w:val="both"/>
        <w:rPr>
          <w:rFonts w:ascii="Arial" w:hAnsi="Arial" w:cs="Arial"/>
          <w:noProof/>
          <w:lang w:val="pl-PL"/>
        </w:rPr>
      </w:pPr>
      <w:r w:rsidRPr="00AE5C99">
        <w:rPr>
          <w:rFonts w:ascii="Arial" w:hAnsi="Arial" w:cs="Arial"/>
          <w:noProof/>
          <w:lang w:val="pl-PL"/>
        </w:rPr>
        <w:lastRenderedPageBreak/>
        <w:t>Pravilnik o sadržaju zahtjeva i dokumentaciji za izdavanje dozvole za preradu i/ili zbrinjavanje otpada iz rudarstva ("Službeni list Crne Gore", br. 078/16);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Pravilnik o tehničkim normativima za površinsku eksploataciju ležišta mineralnih sirovina („Sl. list SFRJ“, br. 62/87);</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Pravilnik o tehničkim normativima za površinsku eksploataciju arhitektonsko-građevinskog (ukrasnog) kamena, tehničko-građevinskog kamena, šljunka i pijeska i preradu arhitektonsko-građevinskog (ukrasnog) kamena („Sl. list SFRJ“, br. 11/86);</w:t>
      </w:r>
    </w:p>
    <w:p w:rsidR="0044322A"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hAnsi="Arial" w:cs="Arial"/>
          <w:noProof/>
          <w:lang w:val="sr-Latn-CS"/>
        </w:rPr>
        <w:t xml:space="preserve">Uputstvo o izradi godišnjeg tehničkog izvještaja i godišnjeg finansijskog izvještaja o poslovanju koncesionara koji imaju pravo na eksploataciju mineralnih sirovina („Sl. list RCG“, br. 10/95) i </w:t>
      </w:r>
    </w:p>
    <w:p w:rsidR="00A700A0" w:rsidRPr="00AE5C99" w:rsidRDefault="0044322A" w:rsidP="00AE5C99">
      <w:pPr>
        <w:pStyle w:val="ListParagraph"/>
        <w:numPr>
          <w:ilvl w:val="0"/>
          <w:numId w:val="16"/>
        </w:numPr>
        <w:suppressAutoHyphens/>
        <w:spacing w:after="0" w:line="240" w:lineRule="auto"/>
        <w:jc w:val="both"/>
        <w:rPr>
          <w:rFonts w:ascii="Arial" w:hAnsi="Arial" w:cs="Arial"/>
          <w:noProof/>
          <w:lang w:val="sr-Latn-CS"/>
        </w:rPr>
      </w:pPr>
      <w:r w:rsidRPr="00AE5C99">
        <w:rPr>
          <w:rFonts w:ascii="Arial" w:eastAsia="Times New Roman" w:hAnsi="Arial" w:cs="Arial"/>
          <w:noProof/>
          <w:lang w:val="sr-Latn-CS"/>
        </w:rPr>
        <w:t>ostali propisi.</w:t>
      </w:r>
    </w:p>
    <w:p w:rsidR="00CF4CDA" w:rsidRPr="00AE5C99" w:rsidRDefault="00CF4CDA" w:rsidP="00AE5C99">
      <w:pPr>
        <w:suppressAutoHyphens/>
        <w:spacing w:after="0" w:line="240" w:lineRule="auto"/>
        <w:jc w:val="both"/>
        <w:rPr>
          <w:rFonts w:ascii="Arial" w:hAnsi="Arial" w:cs="Arial"/>
          <w:noProof/>
          <w:lang w:val="sr-Latn-CS"/>
        </w:rPr>
      </w:pPr>
    </w:p>
    <w:p w:rsidR="0044322A" w:rsidRPr="00AE5C99" w:rsidRDefault="0044322A" w:rsidP="00AE5C99">
      <w:pPr>
        <w:pStyle w:val="ListParagraph"/>
        <w:suppressAutoHyphens/>
        <w:spacing w:after="0" w:line="240" w:lineRule="auto"/>
        <w:ind w:left="0"/>
        <w:contextualSpacing w:val="0"/>
        <w:jc w:val="both"/>
        <w:rPr>
          <w:rFonts w:ascii="Arial" w:hAnsi="Arial" w:cs="Arial"/>
          <w:noProof/>
          <w:lang w:val="sr-Latn-CS"/>
        </w:rPr>
      </w:pPr>
      <w:r w:rsidRPr="00AE5C99">
        <w:rPr>
          <w:rFonts w:ascii="Arial" w:eastAsia="Times New Roman" w:hAnsi="Arial" w:cs="Arial"/>
          <w:b/>
          <w:noProof/>
          <w:lang w:val="sr-Latn-CS"/>
        </w:rPr>
        <w:t>Napomena</w:t>
      </w:r>
    </w:p>
    <w:p w:rsidR="00A700A0" w:rsidRPr="00AE5C99" w:rsidRDefault="00A700A0" w:rsidP="00AE5C99">
      <w:pPr>
        <w:pStyle w:val="ListParagraph"/>
        <w:suppressAutoHyphens/>
        <w:spacing w:after="0" w:line="240" w:lineRule="auto"/>
        <w:ind w:left="0"/>
        <w:jc w:val="both"/>
        <w:rPr>
          <w:rFonts w:ascii="Arial" w:eastAsia="Times New Roman" w:hAnsi="Arial" w:cs="Arial"/>
          <w:noProof/>
          <w:lang w:val="sr-Latn-CS"/>
        </w:rPr>
      </w:pPr>
    </w:p>
    <w:p w:rsidR="0044322A" w:rsidRPr="00AE5C99" w:rsidRDefault="0044322A" w:rsidP="00AE5C99">
      <w:pPr>
        <w:pStyle w:val="ListParagraph"/>
        <w:suppressAutoHyphens/>
        <w:spacing w:after="0" w:line="240" w:lineRule="auto"/>
        <w:ind w:left="0"/>
        <w:jc w:val="both"/>
        <w:rPr>
          <w:rFonts w:ascii="Arial" w:eastAsia="Times New Roman" w:hAnsi="Arial" w:cs="Arial"/>
          <w:noProof/>
          <w:lang w:val="sr-Latn-CS"/>
        </w:rPr>
      </w:pPr>
      <w:r w:rsidRPr="00AE5C99">
        <w:rPr>
          <w:rFonts w:ascii="Arial" w:eastAsia="Times New Roman" w:hAnsi="Arial" w:cs="Arial"/>
          <w:noProof/>
          <w:lang w:val="sr-Latn-CS"/>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rsidR="00544A09" w:rsidRPr="00AE5C99" w:rsidRDefault="00544A09" w:rsidP="00AE5C99">
      <w:pPr>
        <w:pStyle w:val="ListParagraph"/>
        <w:suppressAutoHyphens/>
        <w:spacing w:after="0" w:line="240" w:lineRule="auto"/>
        <w:ind w:left="0"/>
        <w:jc w:val="both"/>
        <w:rPr>
          <w:rFonts w:ascii="Arial" w:eastAsia="Times New Roman" w:hAnsi="Arial" w:cs="Arial"/>
          <w:noProof/>
          <w:lang w:val="sr-Latn-CS"/>
        </w:rPr>
      </w:pPr>
    </w:p>
    <w:p w:rsidR="0044322A" w:rsidRPr="00AE5C99" w:rsidRDefault="0044322A" w:rsidP="00AE5C99">
      <w:pPr>
        <w:spacing w:after="0" w:line="240" w:lineRule="auto"/>
        <w:jc w:val="both"/>
        <w:rPr>
          <w:rFonts w:ascii="Arial" w:hAnsi="Arial" w:cs="Arial"/>
          <w:b/>
          <w:bCs/>
          <w:noProof/>
          <w:lang w:val="sr-Latn-CS"/>
        </w:rPr>
      </w:pPr>
      <w:r w:rsidRPr="00AE5C99">
        <w:rPr>
          <w:rFonts w:ascii="Arial" w:hAnsi="Arial" w:cs="Arial"/>
          <w:b/>
          <w:bCs/>
          <w:noProof/>
          <w:lang w:val="sr-Latn-CS"/>
        </w:rPr>
        <w:t>P R I L O Z I</w:t>
      </w:r>
    </w:p>
    <w:p w:rsidR="00A700A0" w:rsidRPr="00AE5C99" w:rsidRDefault="00A700A0" w:rsidP="00AE5C99">
      <w:pPr>
        <w:spacing w:after="0" w:line="240" w:lineRule="auto"/>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b/>
          <w:noProof/>
          <w:lang w:val="sr-Latn-CS"/>
        </w:rPr>
        <w:t>1.</w:t>
      </w:r>
      <w:r w:rsidRPr="00AE5C99">
        <w:rPr>
          <w:rFonts w:ascii="Arial" w:hAnsi="Arial" w:cs="Arial"/>
          <w:noProof/>
          <w:lang w:val="sr-Latn-CS"/>
        </w:rPr>
        <w:t xml:space="preserve"> </w:t>
      </w:r>
      <w:r w:rsidR="007D65E0">
        <w:rPr>
          <w:rFonts w:ascii="Arial" w:hAnsi="Arial" w:cs="Arial"/>
          <w:noProof/>
          <w:lang w:val="sr-Latn-CS"/>
        </w:rPr>
        <w:t>Nacrt</w:t>
      </w:r>
      <w:r w:rsidRPr="00AE5C99">
        <w:rPr>
          <w:rFonts w:ascii="Arial" w:hAnsi="Arial" w:cs="Arial"/>
          <w:noProof/>
          <w:lang w:val="sr-Latn-CS"/>
        </w:rPr>
        <w:t xml:space="preserve"> Ugovora</w:t>
      </w:r>
    </w:p>
    <w:p w:rsidR="007F4C71" w:rsidRPr="00AE5C99" w:rsidRDefault="007F4C71"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Prilog 1 – obrazac  bankarske garancije za fazu detaljnih geoloških istraživanja</w:t>
      </w:r>
    </w:p>
    <w:p w:rsidR="007F4C71" w:rsidRPr="00AE5C99" w:rsidRDefault="007F4C71"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Prilog 2 – obrazac bankarske garancije za ispunjavanje ugovornih obaveza</w:t>
      </w:r>
    </w:p>
    <w:p w:rsidR="007F4C71" w:rsidRPr="00AE5C99" w:rsidRDefault="007F4C71"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Prilog 3 – obrazac bankarske garancije za rekultivaciju</w:t>
      </w:r>
    </w:p>
    <w:p w:rsidR="004608B5" w:rsidRPr="00AE5C99" w:rsidRDefault="00A82FFF" w:rsidP="00AE5C99">
      <w:pPr>
        <w:pStyle w:val="ListParagraph"/>
        <w:numPr>
          <w:ilvl w:val="0"/>
          <w:numId w:val="4"/>
        </w:numPr>
        <w:spacing w:after="0" w:line="240" w:lineRule="auto"/>
        <w:ind w:left="0" w:firstLine="0"/>
        <w:contextualSpacing w:val="0"/>
        <w:jc w:val="both"/>
        <w:rPr>
          <w:rFonts w:ascii="Arial" w:hAnsi="Arial" w:cs="Arial"/>
          <w:noProof/>
        </w:rPr>
      </w:pPr>
      <w:r w:rsidRPr="00AE5C99">
        <w:rPr>
          <w:rFonts w:ascii="Arial" w:hAnsi="Arial" w:cs="Arial"/>
          <w:noProof/>
        </w:rPr>
        <w:t xml:space="preserve">Prilog 5- </w:t>
      </w:r>
      <w:r w:rsidRPr="00AE5C99">
        <w:rPr>
          <w:rFonts w:ascii="Arial" w:hAnsi="Arial" w:cs="Arial"/>
          <w:lang w:val="pl-PL"/>
        </w:rPr>
        <w:t>Tehnički izvještaj sa koordina</w:t>
      </w:r>
      <w:r w:rsidR="004608B5" w:rsidRPr="00AE5C99">
        <w:rPr>
          <w:rFonts w:ascii="Arial" w:hAnsi="Arial" w:cs="Arial"/>
          <w:lang w:val="pl-PL"/>
        </w:rPr>
        <w:t xml:space="preserve">tama graničnih tačaka istražno-  </w:t>
      </w:r>
    </w:p>
    <w:p w:rsidR="00A82FFF" w:rsidRPr="00AE5C99" w:rsidRDefault="004608B5" w:rsidP="00AE5C99">
      <w:pPr>
        <w:pStyle w:val="ListParagraph"/>
        <w:spacing w:after="0" w:line="240" w:lineRule="auto"/>
        <w:ind w:left="0"/>
        <w:contextualSpacing w:val="0"/>
        <w:jc w:val="both"/>
        <w:rPr>
          <w:rFonts w:ascii="Arial" w:hAnsi="Arial" w:cs="Arial"/>
          <w:noProof/>
        </w:rPr>
      </w:pPr>
      <w:r w:rsidRPr="00AE5C99">
        <w:rPr>
          <w:rFonts w:ascii="Arial" w:hAnsi="Arial" w:cs="Arial"/>
          <w:lang w:val="pl-PL"/>
        </w:rPr>
        <w:t xml:space="preserve">            </w:t>
      </w:r>
      <w:r w:rsidR="00D80D8E" w:rsidRPr="00AE5C99">
        <w:rPr>
          <w:rFonts w:ascii="Arial" w:hAnsi="Arial" w:cs="Arial"/>
          <w:lang w:val="pl-PL"/>
        </w:rPr>
        <w:t>e</w:t>
      </w:r>
      <w:r w:rsidRPr="00AE5C99">
        <w:rPr>
          <w:rFonts w:ascii="Arial" w:hAnsi="Arial" w:cs="Arial"/>
          <w:lang w:val="pl-PL"/>
        </w:rPr>
        <w:t xml:space="preserve">ksploatacionog </w:t>
      </w:r>
      <w:r w:rsidR="00BA158D" w:rsidRPr="00AE5C99">
        <w:rPr>
          <w:rFonts w:ascii="Arial" w:hAnsi="Arial" w:cs="Arial"/>
          <w:lang w:val="pl-PL"/>
        </w:rPr>
        <w:t xml:space="preserve"> </w:t>
      </w:r>
      <w:r w:rsidR="00A82FFF" w:rsidRPr="00AE5C99">
        <w:rPr>
          <w:rFonts w:ascii="Arial" w:hAnsi="Arial" w:cs="Arial"/>
          <w:lang w:val="pl-PL"/>
        </w:rPr>
        <w:t>prostora „Velji Zabio”</w:t>
      </w:r>
    </w:p>
    <w:p w:rsidR="007F4C71" w:rsidRPr="00AE5C99" w:rsidRDefault="007F4C71" w:rsidP="00AE5C99">
      <w:pPr>
        <w:pStyle w:val="ListParagraph"/>
        <w:spacing w:after="0" w:line="240" w:lineRule="auto"/>
        <w:ind w:left="0"/>
        <w:contextualSpacing w:val="0"/>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b/>
          <w:noProof/>
          <w:lang w:val="sr-Latn-CS"/>
        </w:rPr>
        <w:t>2.</w:t>
      </w:r>
      <w:r w:rsidRPr="00AE5C99">
        <w:rPr>
          <w:rFonts w:ascii="Arial" w:hAnsi="Arial" w:cs="Arial"/>
          <w:noProof/>
          <w:lang w:val="sr-Latn-CS"/>
        </w:rPr>
        <w:t xml:space="preserve"> Prilozi i uputstva</w:t>
      </w:r>
    </w:p>
    <w:p w:rsidR="0044322A" w:rsidRPr="00AE5C99" w:rsidRDefault="0044322A"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Obrazac A – Podaci o ponuđaču</w:t>
      </w:r>
    </w:p>
    <w:p w:rsidR="0044322A" w:rsidRPr="00AE5C99" w:rsidRDefault="0044322A"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Obrazac B – Tehnička ponuda</w:t>
      </w:r>
    </w:p>
    <w:p w:rsidR="0044322A" w:rsidRPr="00AE5C99" w:rsidRDefault="0044322A"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Obrazac C – Forma bankarske garancije za ponudu</w:t>
      </w:r>
    </w:p>
    <w:p w:rsidR="0044322A" w:rsidRPr="00AE5C99" w:rsidRDefault="0044322A" w:rsidP="00AE5C99">
      <w:pPr>
        <w:pStyle w:val="ListParagraph"/>
        <w:numPr>
          <w:ilvl w:val="0"/>
          <w:numId w:val="4"/>
        </w:numPr>
        <w:spacing w:after="0" w:line="240" w:lineRule="auto"/>
        <w:ind w:left="0" w:firstLine="0"/>
        <w:contextualSpacing w:val="0"/>
        <w:jc w:val="both"/>
        <w:rPr>
          <w:rFonts w:ascii="Arial" w:hAnsi="Arial" w:cs="Arial"/>
          <w:noProof/>
          <w:lang w:val="sr-Latn-CS"/>
        </w:rPr>
      </w:pPr>
      <w:r w:rsidRPr="00AE5C99">
        <w:rPr>
          <w:rFonts w:ascii="Arial" w:hAnsi="Arial" w:cs="Arial"/>
          <w:noProof/>
          <w:lang w:val="sr-Latn-CS"/>
        </w:rPr>
        <w:t xml:space="preserve">Prilog 4 – Uputstvo za podnošenje ponuda </w:t>
      </w:r>
    </w:p>
    <w:p w:rsidR="005F09B6" w:rsidRPr="00AE5C99" w:rsidRDefault="005F09B6" w:rsidP="00AE5C99">
      <w:pPr>
        <w:pStyle w:val="ListParagraph"/>
        <w:spacing w:after="0" w:line="240" w:lineRule="auto"/>
        <w:ind w:left="0"/>
        <w:contextualSpacing w:val="0"/>
        <w:jc w:val="both"/>
        <w:rPr>
          <w:rFonts w:ascii="Arial" w:hAnsi="Arial" w:cs="Arial"/>
          <w:noProof/>
          <w:lang w:val="sr-Latn-CS"/>
        </w:rPr>
      </w:pPr>
    </w:p>
    <w:p w:rsidR="00172768" w:rsidRPr="00AE5C99" w:rsidRDefault="00172768" w:rsidP="00AE5C99">
      <w:pPr>
        <w:pStyle w:val="ListParagraph"/>
        <w:spacing w:after="0" w:line="240" w:lineRule="auto"/>
        <w:ind w:left="0"/>
        <w:contextualSpacing w:val="0"/>
        <w:jc w:val="both"/>
        <w:rPr>
          <w:rFonts w:ascii="Arial" w:hAnsi="Arial" w:cs="Arial"/>
          <w:noProof/>
          <w:lang w:val="sr-Latn-CS"/>
        </w:rPr>
      </w:pPr>
    </w:p>
    <w:p w:rsidR="0044322A" w:rsidRPr="00AE5C99" w:rsidRDefault="0044322A" w:rsidP="00AE5C99">
      <w:pPr>
        <w:spacing w:after="0" w:line="240" w:lineRule="auto"/>
        <w:jc w:val="both"/>
        <w:rPr>
          <w:rFonts w:ascii="Arial" w:hAnsi="Arial" w:cs="Arial"/>
          <w:noProof/>
          <w:lang w:val="sr-Latn-CS"/>
        </w:rPr>
      </w:pPr>
      <w:r w:rsidRPr="00AE5C99">
        <w:rPr>
          <w:rFonts w:ascii="Arial" w:hAnsi="Arial" w:cs="Arial"/>
          <w:b/>
          <w:noProof/>
          <w:lang w:val="sr-Latn-CS"/>
        </w:rPr>
        <w:t>3.</w:t>
      </w:r>
      <w:r w:rsidRPr="00AE5C99">
        <w:rPr>
          <w:rFonts w:ascii="Arial" w:hAnsi="Arial" w:cs="Arial"/>
          <w:noProof/>
          <w:lang w:val="sr-Latn-CS"/>
        </w:rPr>
        <w:t xml:space="preserve"> Javni poziv</w:t>
      </w:r>
    </w:p>
    <w:p w:rsidR="00473186" w:rsidRPr="00AE5C99" w:rsidRDefault="00473186" w:rsidP="00AE5C99">
      <w:pPr>
        <w:spacing w:after="0" w:line="240" w:lineRule="auto"/>
        <w:rPr>
          <w:rFonts w:ascii="Arial" w:hAnsi="Arial" w:cs="Arial"/>
          <w:noProof/>
          <w:lang w:val="sr-Latn-CS"/>
        </w:rPr>
      </w:pPr>
    </w:p>
    <w:sectPr w:rsidR="00473186" w:rsidRPr="00AE5C99" w:rsidSect="00AE5C99">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A1" w:rsidRDefault="002618A1" w:rsidP="00ED2D40">
      <w:pPr>
        <w:spacing w:after="0" w:line="240" w:lineRule="auto"/>
      </w:pPr>
      <w:r>
        <w:separator/>
      </w:r>
    </w:p>
  </w:endnote>
  <w:endnote w:type="continuationSeparator" w:id="0">
    <w:p w:rsidR="002618A1" w:rsidRDefault="002618A1" w:rsidP="00E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E9E" w:rsidRPr="008E7826" w:rsidRDefault="00742E9E" w:rsidP="003A33EA">
    <w:pPr>
      <w:pStyle w:val="Footer"/>
      <w:pBdr>
        <w:top w:val="thinThickSmallGap" w:sz="24" w:space="1" w:color="622423" w:themeColor="accent2" w:themeShade="7F"/>
      </w:pBdr>
      <w:rPr>
        <w:rFonts w:ascii="Arial" w:hAnsi="Arial" w:cs="Arial"/>
        <w:sz w:val="18"/>
        <w:szCs w:val="18"/>
      </w:rPr>
    </w:pPr>
    <w:proofErr w:type="spellStart"/>
    <w:r w:rsidRPr="008E7826">
      <w:rPr>
        <w:rFonts w:ascii="Arial" w:hAnsi="Arial" w:cs="Arial"/>
        <w:sz w:val="18"/>
        <w:szCs w:val="18"/>
      </w:rPr>
      <w:t>Ko</w:t>
    </w:r>
    <w:r>
      <w:rPr>
        <w:rFonts w:ascii="Arial" w:hAnsi="Arial" w:cs="Arial"/>
        <w:sz w:val="18"/>
        <w:szCs w:val="18"/>
      </w:rPr>
      <w:t>n</w:t>
    </w:r>
    <w:r w:rsidRPr="008E7826">
      <w:rPr>
        <w:rFonts w:ascii="Arial" w:hAnsi="Arial" w:cs="Arial"/>
        <w:sz w:val="18"/>
        <w:szCs w:val="18"/>
      </w:rPr>
      <w:t>cesioni</w:t>
    </w:r>
    <w:proofErr w:type="spellEnd"/>
    <w:r w:rsidRPr="008E7826">
      <w:rPr>
        <w:rFonts w:ascii="Arial" w:hAnsi="Arial" w:cs="Arial"/>
        <w:sz w:val="18"/>
        <w:szCs w:val="18"/>
      </w:rPr>
      <w:t xml:space="preserve"> </w:t>
    </w:r>
    <w:proofErr w:type="spellStart"/>
    <w:r w:rsidRPr="008E7826">
      <w:rPr>
        <w:rFonts w:ascii="Arial" w:hAnsi="Arial" w:cs="Arial"/>
        <w:sz w:val="18"/>
        <w:szCs w:val="18"/>
      </w:rPr>
      <w:t>akt</w:t>
    </w:r>
    <w:proofErr w:type="spellEnd"/>
    <w:r w:rsidRPr="008E7826">
      <w:rPr>
        <w:rFonts w:ascii="Arial" w:hAnsi="Arial" w:cs="Arial"/>
        <w:sz w:val="18"/>
        <w:szCs w:val="18"/>
      </w:rPr>
      <w:t xml:space="preserve"> </w:t>
    </w:r>
    <w:r>
      <w:rPr>
        <w:rFonts w:ascii="Arial" w:hAnsi="Arial" w:cs="Arial"/>
        <w:sz w:val="18"/>
        <w:szCs w:val="18"/>
      </w:rPr>
      <w:t xml:space="preserve">o </w:t>
    </w:r>
    <w:proofErr w:type="spellStart"/>
    <w:r w:rsidRPr="008E7826">
      <w:rPr>
        <w:rFonts w:ascii="Arial" w:hAnsi="Arial" w:cs="Arial"/>
        <w:sz w:val="18"/>
        <w:szCs w:val="18"/>
      </w:rPr>
      <w:t>mineraln</w:t>
    </w:r>
    <w:r>
      <w:rPr>
        <w:rFonts w:ascii="Arial" w:hAnsi="Arial" w:cs="Arial"/>
        <w:sz w:val="18"/>
        <w:szCs w:val="18"/>
      </w:rPr>
      <w:t>oj</w:t>
    </w:r>
    <w:proofErr w:type="spellEnd"/>
    <w:r w:rsidRPr="008E7826">
      <w:rPr>
        <w:rFonts w:ascii="Arial" w:hAnsi="Arial" w:cs="Arial"/>
        <w:sz w:val="18"/>
        <w:szCs w:val="18"/>
      </w:rPr>
      <w:t xml:space="preserve"> </w:t>
    </w:r>
    <w:proofErr w:type="spellStart"/>
    <w:r w:rsidRPr="008E7826">
      <w:rPr>
        <w:rFonts w:ascii="Arial" w:hAnsi="Arial" w:cs="Arial"/>
        <w:sz w:val="18"/>
        <w:szCs w:val="18"/>
      </w:rPr>
      <w:t>sirovin</w:t>
    </w:r>
    <w:r>
      <w:rPr>
        <w:rFonts w:ascii="Arial" w:hAnsi="Arial" w:cs="Arial"/>
        <w:sz w:val="18"/>
        <w:szCs w:val="18"/>
      </w:rPr>
      <w:t>i</w:t>
    </w:r>
    <w:proofErr w:type="spellEnd"/>
    <w:r w:rsidRPr="008E7826">
      <w:rPr>
        <w:rFonts w:ascii="Arial" w:hAnsi="Arial" w:cs="Arial"/>
        <w:sz w:val="18"/>
        <w:szCs w:val="18"/>
      </w:rPr>
      <w:t xml:space="preserve"> </w:t>
    </w:r>
    <w:proofErr w:type="spellStart"/>
    <w:r w:rsidRPr="008E7826">
      <w:rPr>
        <w:rFonts w:ascii="Arial" w:hAnsi="Arial" w:cs="Arial"/>
        <w:sz w:val="18"/>
        <w:szCs w:val="18"/>
      </w:rPr>
      <w:t>tehničko-građevinskog</w:t>
    </w:r>
    <w:proofErr w:type="spellEnd"/>
    <w:r w:rsidRPr="008E7826">
      <w:rPr>
        <w:rFonts w:ascii="Arial" w:hAnsi="Arial" w:cs="Arial"/>
        <w:sz w:val="18"/>
        <w:szCs w:val="18"/>
      </w:rPr>
      <w:t xml:space="preserve"> </w:t>
    </w:r>
    <w:proofErr w:type="spellStart"/>
    <w:r w:rsidRPr="008E7826">
      <w:rPr>
        <w:rFonts w:ascii="Arial" w:hAnsi="Arial" w:cs="Arial"/>
        <w:sz w:val="18"/>
        <w:szCs w:val="18"/>
      </w:rPr>
      <w:t>kamena</w:t>
    </w:r>
    <w:proofErr w:type="spellEnd"/>
    <w:r>
      <w:rPr>
        <w:rFonts w:ascii="Arial" w:hAnsi="Arial" w:cs="Arial"/>
        <w:sz w:val="18"/>
        <w:szCs w:val="18"/>
      </w:rPr>
      <w:t xml:space="preserve"> </w:t>
    </w:r>
    <w:proofErr w:type="spellStart"/>
    <w:r>
      <w:rPr>
        <w:rFonts w:ascii="Arial" w:hAnsi="Arial" w:cs="Arial"/>
        <w:sz w:val="18"/>
        <w:szCs w:val="18"/>
      </w:rPr>
      <w:t>ležišta</w:t>
    </w:r>
    <w:proofErr w:type="spellEnd"/>
    <w:r w:rsidRPr="008E7826">
      <w:rPr>
        <w:rFonts w:ascii="Arial" w:hAnsi="Arial" w:cs="Arial"/>
        <w:sz w:val="18"/>
        <w:szCs w:val="18"/>
      </w:rPr>
      <w:t xml:space="preserve"> </w:t>
    </w:r>
    <w:r>
      <w:rPr>
        <w:rFonts w:ascii="Arial" w:hAnsi="Arial" w:cs="Arial"/>
        <w:sz w:val="18"/>
        <w:szCs w:val="18"/>
      </w:rPr>
      <w:t>„</w:t>
    </w:r>
    <w:proofErr w:type="spellStart"/>
    <w:r>
      <w:rPr>
        <w:rFonts w:ascii="Arial" w:hAnsi="Arial" w:cs="Arial"/>
        <w:sz w:val="18"/>
        <w:szCs w:val="18"/>
      </w:rPr>
      <w:t>Velji</w:t>
    </w:r>
    <w:proofErr w:type="spellEnd"/>
    <w:r>
      <w:rPr>
        <w:rFonts w:ascii="Arial" w:hAnsi="Arial" w:cs="Arial"/>
        <w:sz w:val="18"/>
        <w:szCs w:val="18"/>
      </w:rPr>
      <w:t xml:space="preserve"> </w:t>
    </w:r>
    <w:proofErr w:type="spellStart"/>
    <w:r>
      <w:rPr>
        <w:rFonts w:ascii="Arial" w:hAnsi="Arial" w:cs="Arial"/>
        <w:sz w:val="18"/>
        <w:szCs w:val="18"/>
      </w:rPr>
      <w:t>Zabio</w:t>
    </w:r>
    <w:proofErr w:type="spellEnd"/>
    <w:r w:rsidRPr="00920E15">
      <w:rPr>
        <w:rFonts w:ascii="Arial" w:hAnsi="Arial" w:cs="Arial"/>
        <w:sz w:val="18"/>
        <w:szCs w:val="18"/>
      </w:rPr>
      <w:t xml:space="preserve">”, </w:t>
    </w:r>
    <w:proofErr w:type="spellStart"/>
    <w:r>
      <w:rPr>
        <w:rFonts w:ascii="Arial" w:hAnsi="Arial" w:cs="Arial"/>
        <w:sz w:val="18"/>
        <w:szCs w:val="18"/>
      </w:rPr>
      <w:t>O</w:t>
    </w:r>
    <w:r w:rsidRPr="00920E15">
      <w:rPr>
        <w:rFonts w:ascii="Arial" w:hAnsi="Arial" w:cs="Arial"/>
        <w:sz w:val="18"/>
        <w:szCs w:val="18"/>
      </w:rPr>
      <w:t>pština</w:t>
    </w:r>
    <w:proofErr w:type="spellEnd"/>
    <w:r w:rsidRPr="00920E15">
      <w:rPr>
        <w:rFonts w:ascii="Arial" w:hAnsi="Arial" w:cs="Arial"/>
        <w:sz w:val="18"/>
        <w:szCs w:val="18"/>
      </w:rPr>
      <w:t xml:space="preserve"> </w:t>
    </w:r>
    <w:r>
      <w:rPr>
        <w:rFonts w:ascii="Arial" w:hAnsi="Arial" w:cs="Arial"/>
        <w:sz w:val="18"/>
        <w:szCs w:val="18"/>
      </w:rPr>
      <w:t>Bar</w:t>
    </w:r>
    <w:r w:rsidRPr="008E7826">
      <w:rPr>
        <w:rFonts w:ascii="Arial" w:hAnsi="Arial" w:cs="Arial"/>
        <w:sz w:val="18"/>
        <w:szCs w:val="18"/>
      </w:rPr>
      <w:t xml:space="preserve"> </w:t>
    </w:r>
    <w:r w:rsidRPr="008E7826">
      <w:rPr>
        <w:rFonts w:ascii="Arial" w:hAnsi="Arial" w:cs="Arial"/>
        <w:sz w:val="18"/>
        <w:szCs w:val="18"/>
      </w:rPr>
      <w:ptab w:relativeTo="margin" w:alignment="right" w:leader="none"/>
    </w:r>
    <w:r w:rsidRPr="008E7826">
      <w:rPr>
        <w:rFonts w:ascii="Arial" w:hAnsi="Arial" w:cs="Arial"/>
        <w:sz w:val="18"/>
        <w:szCs w:val="18"/>
      </w:rPr>
      <w:fldChar w:fldCharType="begin"/>
    </w:r>
    <w:r w:rsidRPr="008E7826">
      <w:rPr>
        <w:rFonts w:ascii="Arial" w:hAnsi="Arial" w:cs="Arial"/>
        <w:sz w:val="18"/>
        <w:szCs w:val="18"/>
      </w:rPr>
      <w:instrText xml:space="preserve"> PAGE   \* MERGEFORMAT </w:instrText>
    </w:r>
    <w:r w:rsidRPr="008E7826">
      <w:rPr>
        <w:rFonts w:ascii="Arial" w:hAnsi="Arial" w:cs="Arial"/>
        <w:sz w:val="18"/>
        <w:szCs w:val="18"/>
      </w:rPr>
      <w:fldChar w:fldCharType="separate"/>
    </w:r>
    <w:r w:rsidR="009E0894">
      <w:rPr>
        <w:rFonts w:ascii="Arial" w:hAnsi="Arial" w:cs="Arial"/>
        <w:noProof/>
        <w:sz w:val="18"/>
        <w:szCs w:val="18"/>
      </w:rPr>
      <w:t>14</w:t>
    </w:r>
    <w:r w:rsidRPr="008E7826">
      <w:rPr>
        <w:rFonts w:ascii="Arial" w:hAnsi="Arial" w:cs="Arial"/>
        <w:sz w:val="18"/>
        <w:szCs w:val="18"/>
      </w:rPr>
      <w:fldChar w:fldCharType="end"/>
    </w:r>
  </w:p>
  <w:p w:rsidR="00742E9E" w:rsidRPr="0059672E" w:rsidRDefault="00742E9E" w:rsidP="0059672E">
    <w:pPr>
      <w:pStyle w:val="Footer"/>
      <w:pBdr>
        <w:top w:val="thinThickSmallGap" w:sz="24" w:space="1" w:color="622423" w:themeColor="accent2" w:themeShade="7F"/>
      </w:pBd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A1" w:rsidRDefault="002618A1" w:rsidP="00ED2D40">
      <w:pPr>
        <w:spacing w:after="0" w:line="240" w:lineRule="auto"/>
      </w:pPr>
      <w:r>
        <w:separator/>
      </w:r>
    </w:p>
  </w:footnote>
  <w:footnote w:type="continuationSeparator" w:id="0">
    <w:p w:rsidR="002618A1" w:rsidRDefault="002618A1" w:rsidP="00ED2D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58F6E28"/>
    <w:multiLevelType w:val="hybridMultilevel"/>
    <w:tmpl w:val="95E8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976F5C"/>
    <w:multiLevelType w:val="hybridMultilevel"/>
    <w:tmpl w:val="9BFEF3BC"/>
    <w:lvl w:ilvl="0" w:tplc="1B76FBC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BC5DEE"/>
    <w:multiLevelType w:val="hybridMultilevel"/>
    <w:tmpl w:val="D0FC05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5E243D"/>
    <w:multiLevelType w:val="hybridMultilevel"/>
    <w:tmpl w:val="C834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4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6A56CA"/>
    <w:multiLevelType w:val="hybridMultilevel"/>
    <w:tmpl w:val="7F0EB40A"/>
    <w:lvl w:ilvl="0" w:tplc="404E5A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5"/>
  </w:num>
  <w:num w:numId="3">
    <w:abstractNumId w:val="39"/>
  </w:num>
  <w:num w:numId="4">
    <w:abstractNumId w:val="30"/>
  </w:num>
  <w:num w:numId="5">
    <w:abstractNumId w:val="41"/>
  </w:num>
  <w:num w:numId="6">
    <w:abstractNumId w:val="35"/>
  </w:num>
  <w:num w:numId="7">
    <w:abstractNumId w:val="26"/>
  </w:num>
  <w:num w:numId="8">
    <w:abstractNumId w:val="36"/>
  </w:num>
  <w:num w:numId="9">
    <w:abstractNumId w:val="25"/>
  </w:num>
  <w:num w:numId="10">
    <w:abstractNumId w:val="24"/>
  </w:num>
  <w:num w:numId="11">
    <w:abstractNumId w:val="32"/>
  </w:num>
  <w:num w:numId="12">
    <w:abstractNumId w:val="40"/>
  </w:num>
  <w:num w:numId="13">
    <w:abstractNumId w:val="31"/>
  </w:num>
  <w:num w:numId="14">
    <w:abstractNumId w:val="27"/>
  </w:num>
  <w:num w:numId="15">
    <w:abstractNumId w:val="37"/>
  </w:num>
  <w:num w:numId="16">
    <w:abstractNumId w:val="23"/>
  </w:num>
  <w:num w:numId="17">
    <w:abstractNumId w:val="20"/>
  </w:num>
  <w:num w:numId="18">
    <w:abstractNumId w:val="19"/>
  </w:num>
  <w:num w:numId="19">
    <w:abstractNumId w:val="33"/>
  </w:num>
  <w:num w:numId="20">
    <w:abstractNumId w:val="28"/>
  </w:num>
  <w:num w:numId="21">
    <w:abstractNumId w:val="21"/>
  </w:num>
  <w:num w:numId="22">
    <w:abstractNumId w:val="22"/>
  </w:num>
  <w:num w:numId="23">
    <w:abstractNumId w:val="38"/>
  </w:num>
  <w:num w:numId="24">
    <w:abstractNumId w:val="42"/>
  </w:num>
  <w:num w:numId="25">
    <w:abstractNumId w:val="29"/>
  </w:num>
  <w:num w:numId="2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676"/>
    <w:rsid w:val="000012CD"/>
    <w:rsid w:val="000023F8"/>
    <w:rsid w:val="00012D20"/>
    <w:rsid w:val="00015128"/>
    <w:rsid w:val="000156A4"/>
    <w:rsid w:val="00015DF2"/>
    <w:rsid w:val="000221CF"/>
    <w:rsid w:val="000227AA"/>
    <w:rsid w:val="00034F06"/>
    <w:rsid w:val="0003619E"/>
    <w:rsid w:val="000404E1"/>
    <w:rsid w:val="00041742"/>
    <w:rsid w:val="00041FAC"/>
    <w:rsid w:val="00043EAF"/>
    <w:rsid w:val="00045BF7"/>
    <w:rsid w:val="00053DC6"/>
    <w:rsid w:val="0006777E"/>
    <w:rsid w:val="00067923"/>
    <w:rsid w:val="000713E5"/>
    <w:rsid w:val="0007263F"/>
    <w:rsid w:val="00073542"/>
    <w:rsid w:val="00075A05"/>
    <w:rsid w:val="00075F8D"/>
    <w:rsid w:val="00083EB6"/>
    <w:rsid w:val="00084265"/>
    <w:rsid w:val="00087FED"/>
    <w:rsid w:val="00093309"/>
    <w:rsid w:val="0009522A"/>
    <w:rsid w:val="000A308E"/>
    <w:rsid w:val="000A3E49"/>
    <w:rsid w:val="000A6A18"/>
    <w:rsid w:val="000B1014"/>
    <w:rsid w:val="000B41D2"/>
    <w:rsid w:val="000C1D3C"/>
    <w:rsid w:val="000C64D1"/>
    <w:rsid w:val="000D1563"/>
    <w:rsid w:val="000D2EC5"/>
    <w:rsid w:val="000D47C1"/>
    <w:rsid w:val="000E1251"/>
    <w:rsid w:val="000E131A"/>
    <w:rsid w:val="000E1EC0"/>
    <w:rsid w:val="001027A6"/>
    <w:rsid w:val="001073EE"/>
    <w:rsid w:val="00107794"/>
    <w:rsid w:val="00113526"/>
    <w:rsid w:val="00113B4E"/>
    <w:rsid w:val="00117017"/>
    <w:rsid w:val="00117AF1"/>
    <w:rsid w:val="001210B7"/>
    <w:rsid w:val="00122518"/>
    <w:rsid w:val="00124757"/>
    <w:rsid w:val="00126DB1"/>
    <w:rsid w:val="00132926"/>
    <w:rsid w:val="001359E8"/>
    <w:rsid w:val="0013707F"/>
    <w:rsid w:val="00142653"/>
    <w:rsid w:val="00145A24"/>
    <w:rsid w:val="001550A8"/>
    <w:rsid w:val="00160842"/>
    <w:rsid w:val="00163B9D"/>
    <w:rsid w:val="0016453C"/>
    <w:rsid w:val="00172768"/>
    <w:rsid w:val="00175EBD"/>
    <w:rsid w:val="001826C2"/>
    <w:rsid w:val="00182C7B"/>
    <w:rsid w:val="001966E1"/>
    <w:rsid w:val="001A053E"/>
    <w:rsid w:val="001A10EB"/>
    <w:rsid w:val="001A37A8"/>
    <w:rsid w:val="001A7610"/>
    <w:rsid w:val="001B0637"/>
    <w:rsid w:val="001B1415"/>
    <w:rsid w:val="001B4858"/>
    <w:rsid w:val="001C2790"/>
    <w:rsid w:val="001C5391"/>
    <w:rsid w:val="001C5BD8"/>
    <w:rsid w:val="001C6CD8"/>
    <w:rsid w:val="001D297B"/>
    <w:rsid w:val="001D5363"/>
    <w:rsid w:val="001E381C"/>
    <w:rsid w:val="001E654D"/>
    <w:rsid w:val="001F6775"/>
    <w:rsid w:val="002048E0"/>
    <w:rsid w:val="002063AA"/>
    <w:rsid w:val="00214E36"/>
    <w:rsid w:val="00215017"/>
    <w:rsid w:val="00223E28"/>
    <w:rsid w:val="00226F6F"/>
    <w:rsid w:val="00247B51"/>
    <w:rsid w:val="002618A1"/>
    <w:rsid w:val="00261C5D"/>
    <w:rsid w:val="002637DE"/>
    <w:rsid w:val="00274BF6"/>
    <w:rsid w:val="002756D8"/>
    <w:rsid w:val="00280E1E"/>
    <w:rsid w:val="00282BB3"/>
    <w:rsid w:val="0029127F"/>
    <w:rsid w:val="00293310"/>
    <w:rsid w:val="00295C2E"/>
    <w:rsid w:val="00295CAB"/>
    <w:rsid w:val="002A7265"/>
    <w:rsid w:val="002B2BFE"/>
    <w:rsid w:val="002B717C"/>
    <w:rsid w:val="002C227B"/>
    <w:rsid w:val="002D315D"/>
    <w:rsid w:val="002D390A"/>
    <w:rsid w:val="002D4E85"/>
    <w:rsid w:val="002D6432"/>
    <w:rsid w:val="002E17F4"/>
    <w:rsid w:val="002E38AD"/>
    <w:rsid w:val="002E4676"/>
    <w:rsid w:val="002E6B4B"/>
    <w:rsid w:val="002F0E9B"/>
    <w:rsid w:val="002F3535"/>
    <w:rsid w:val="002F4E89"/>
    <w:rsid w:val="002F75C5"/>
    <w:rsid w:val="00301C62"/>
    <w:rsid w:val="00302B6D"/>
    <w:rsid w:val="00306531"/>
    <w:rsid w:val="00312B4D"/>
    <w:rsid w:val="00314107"/>
    <w:rsid w:val="00323187"/>
    <w:rsid w:val="0034532F"/>
    <w:rsid w:val="003523D6"/>
    <w:rsid w:val="00356F2A"/>
    <w:rsid w:val="00366FD6"/>
    <w:rsid w:val="0037158C"/>
    <w:rsid w:val="00373B10"/>
    <w:rsid w:val="003747A6"/>
    <w:rsid w:val="00377ECC"/>
    <w:rsid w:val="0038140A"/>
    <w:rsid w:val="0038243D"/>
    <w:rsid w:val="0039605A"/>
    <w:rsid w:val="003971BA"/>
    <w:rsid w:val="003A0E2D"/>
    <w:rsid w:val="003A2272"/>
    <w:rsid w:val="003A33EA"/>
    <w:rsid w:val="003B0F2E"/>
    <w:rsid w:val="003B2357"/>
    <w:rsid w:val="003B3C26"/>
    <w:rsid w:val="003B411C"/>
    <w:rsid w:val="003B6279"/>
    <w:rsid w:val="003B7C8D"/>
    <w:rsid w:val="003C0362"/>
    <w:rsid w:val="003E4784"/>
    <w:rsid w:val="003E580B"/>
    <w:rsid w:val="003E79CE"/>
    <w:rsid w:val="003F4968"/>
    <w:rsid w:val="003F58F1"/>
    <w:rsid w:val="004026ED"/>
    <w:rsid w:val="004047B9"/>
    <w:rsid w:val="0041259C"/>
    <w:rsid w:val="00421203"/>
    <w:rsid w:val="00424C3A"/>
    <w:rsid w:val="00426003"/>
    <w:rsid w:val="00430D05"/>
    <w:rsid w:val="00437FB1"/>
    <w:rsid w:val="0044322A"/>
    <w:rsid w:val="00445B26"/>
    <w:rsid w:val="00454387"/>
    <w:rsid w:val="00455EAF"/>
    <w:rsid w:val="00457E75"/>
    <w:rsid w:val="004608B5"/>
    <w:rsid w:val="00464908"/>
    <w:rsid w:val="00472C68"/>
    <w:rsid w:val="00473186"/>
    <w:rsid w:val="00473D40"/>
    <w:rsid w:val="004742BA"/>
    <w:rsid w:val="00477320"/>
    <w:rsid w:val="004802C6"/>
    <w:rsid w:val="004864CE"/>
    <w:rsid w:val="004943DE"/>
    <w:rsid w:val="00497848"/>
    <w:rsid w:val="004A208F"/>
    <w:rsid w:val="004B061D"/>
    <w:rsid w:val="004B1EEB"/>
    <w:rsid w:val="004B3F9E"/>
    <w:rsid w:val="004C0BB8"/>
    <w:rsid w:val="004C38D1"/>
    <w:rsid w:val="004C4E6C"/>
    <w:rsid w:val="004E6CCC"/>
    <w:rsid w:val="004E781A"/>
    <w:rsid w:val="004F1790"/>
    <w:rsid w:val="004F7B60"/>
    <w:rsid w:val="00502CB4"/>
    <w:rsid w:val="005047E3"/>
    <w:rsid w:val="00506D42"/>
    <w:rsid w:val="00507514"/>
    <w:rsid w:val="00510BB9"/>
    <w:rsid w:val="005112C2"/>
    <w:rsid w:val="00513DD1"/>
    <w:rsid w:val="0052047E"/>
    <w:rsid w:val="00522340"/>
    <w:rsid w:val="0052630B"/>
    <w:rsid w:val="00544A09"/>
    <w:rsid w:val="00551D4D"/>
    <w:rsid w:val="005521CE"/>
    <w:rsid w:val="005540F8"/>
    <w:rsid w:val="005655FA"/>
    <w:rsid w:val="00566D37"/>
    <w:rsid w:val="0056714D"/>
    <w:rsid w:val="00576291"/>
    <w:rsid w:val="0057700C"/>
    <w:rsid w:val="005770B4"/>
    <w:rsid w:val="00580B3D"/>
    <w:rsid w:val="00582886"/>
    <w:rsid w:val="00583177"/>
    <w:rsid w:val="005919FD"/>
    <w:rsid w:val="005966C2"/>
    <w:rsid w:val="0059672E"/>
    <w:rsid w:val="0059773C"/>
    <w:rsid w:val="005B38D3"/>
    <w:rsid w:val="005B5C69"/>
    <w:rsid w:val="005B6322"/>
    <w:rsid w:val="005B70BB"/>
    <w:rsid w:val="005C2903"/>
    <w:rsid w:val="005C653D"/>
    <w:rsid w:val="005C75B7"/>
    <w:rsid w:val="005D3D8A"/>
    <w:rsid w:val="005D6B7F"/>
    <w:rsid w:val="005D7B87"/>
    <w:rsid w:val="005E03A9"/>
    <w:rsid w:val="005E67A5"/>
    <w:rsid w:val="005F09B6"/>
    <w:rsid w:val="005F2460"/>
    <w:rsid w:val="005F3106"/>
    <w:rsid w:val="005F5C31"/>
    <w:rsid w:val="005F6969"/>
    <w:rsid w:val="00606AF7"/>
    <w:rsid w:val="006147DF"/>
    <w:rsid w:val="00616D8B"/>
    <w:rsid w:val="006229B8"/>
    <w:rsid w:val="00623A0B"/>
    <w:rsid w:val="00623FB2"/>
    <w:rsid w:val="00624CF4"/>
    <w:rsid w:val="006256AA"/>
    <w:rsid w:val="00626F64"/>
    <w:rsid w:val="00630623"/>
    <w:rsid w:val="0063086B"/>
    <w:rsid w:val="0063208D"/>
    <w:rsid w:val="006345CE"/>
    <w:rsid w:val="00635A6D"/>
    <w:rsid w:val="0064562F"/>
    <w:rsid w:val="0064798C"/>
    <w:rsid w:val="00647B99"/>
    <w:rsid w:val="00651146"/>
    <w:rsid w:val="006552C1"/>
    <w:rsid w:val="006572DF"/>
    <w:rsid w:val="00670FB8"/>
    <w:rsid w:val="006804E1"/>
    <w:rsid w:val="00682440"/>
    <w:rsid w:val="006934D9"/>
    <w:rsid w:val="006A1E25"/>
    <w:rsid w:val="006A4198"/>
    <w:rsid w:val="006A54FE"/>
    <w:rsid w:val="006A68F3"/>
    <w:rsid w:val="006A7B9C"/>
    <w:rsid w:val="006B0693"/>
    <w:rsid w:val="006B2C3F"/>
    <w:rsid w:val="006B40D7"/>
    <w:rsid w:val="006C0C02"/>
    <w:rsid w:val="006C468D"/>
    <w:rsid w:val="006C6925"/>
    <w:rsid w:val="006E0FAB"/>
    <w:rsid w:val="006E4E99"/>
    <w:rsid w:val="006E698A"/>
    <w:rsid w:val="006E7B65"/>
    <w:rsid w:val="00715755"/>
    <w:rsid w:val="00715AF1"/>
    <w:rsid w:val="00716922"/>
    <w:rsid w:val="00730275"/>
    <w:rsid w:val="0073163D"/>
    <w:rsid w:val="00732534"/>
    <w:rsid w:val="00734F35"/>
    <w:rsid w:val="00735D9E"/>
    <w:rsid w:val="00740CC3"/>
    <w:rsid w:val="00741886"/>
    <w:rsid w:val="00742E9E"/>
    <w:rsid w:val="007455EB"/>
    <w:rsid w:val="007530D9"/>
    <w:rsid w:val="0076752A"/>
    <w:rsid w:val="00767F03"/>
    <w:rsid w:val="00776DB7"/>
    <w:rsid w:val="00781335"/>
    <w:rsid w:val="00781B19"/>
    <w:rsid w:val="00785C23"/>
    <w:rsid w:val="00787A0E"/>
    <w:rsid w:val="007910FF"/>
    <w:rsid w:val="00791705"/>
    <w:rsid w:val="00795EC3"/>
    <w:rsid w:val="007A026F"/>
    <w:rsid w:val="007A3EAE"/>
    <w:rsid w:val="007A6033"/>
    <w:rsid w:val="007B37D3"/>
    <w:rsid w:val="007B3E2C"/>
    <w:rsid w:val="007B4C3A"/>
    <w:rsid w:val="007B6041"/>
    <w:rsid w:val="007C2290"/>
    <w:rsid w:val="007C3589"/>
    <w:rsid w:val="007C74B0"/>
    <w:rsid w:val="007D4614"/>
    <w:rsid w:val="007D52B6"/>
    <w:rsid w:val="007D5B3A"/>
    <w:rsid w:val="007D6539"/>
    <w:rsid w:val="007D65E0"/>
    <w:rsid w:val="007D756C"/>
    <w:rsid w:val="007D7746"/>
    <w:rsid w:val="007E5B0E"/>
    <w:rsid w:val="007F1723"/>
    <w:rsid w:val="007F4C71"/>
    <w:rsid w:val="007F5133"/>
    <w:rsid w:val="008010DC"/>
    <w:rsid w:val="008016B5"/>
    <w:rsid w:val="00804539"/>
    <w:rsid w:val="008067D7"/>
    <w:rsid w:val="0081009B"/>
    <w:rsid w:val="00812A41"/>
    <w:rsid w:val="00815ABC"/>
    <w:rsid w:val="008162F7"/>
    <w:rsid w:val="008218FF"/>
    <w:rsid w:val="00822D4B"/>
    <w:rsid w:val="00827258"/>
    <w:rsid w:val="008460C8"/>
    <w:rsid w:val="0085218B"/>
    <w:rsid w:val="00855834"/>
    <w:rsid w:val="008563EE"/>
    <w:rsid w:val="008571B8"/>
    <w:rsid w:val="00857B86"/>
    <w:rsid w:val="0086533F"/>
    <w:rsid w:val="00871E10"/>
    <w:rsid w:val="0087672C"/>
    <w:rsid w:val="00880551"/>
    <w:rsid w:val="00887D4C"/>
    <w:rsid w:val="008910BA"/>
    <w:rsid w:val="00895829"/>
    <w:rsid w:val="008962BB"/>
    <w:rsid w:val="008A75F0"/>
    <w:rsid w:val="008C77A2"/>
    <w:rsid w:val="008D0EC1"/>
    <w:rsid w:val="008D3AB7"/>
    <w:rsid w:val="008D6331"/>
    <w:rsid w:val="008D6E93"/>
    <w:rsid w:val="008E7826"/>
    <w:rsid w:val="008F1A31"/>
    <w:rsid w:val="008F3318"/>
    <w:rsid w:val="008F4B38"/>
    <w:rsid w:val="008F4F41"/>
    <w:rsid w:val="00913DB8"/>
    <w:rsid w:val="00920E15"/>
    <w:rsid w:val="00925256"/>
    <w:rsid w:val="00926A63"/>
    <w:rsid w:val="009403F9"/>
    <w:rsid w:val="009428D6"/>
    <w:rsid w:val="00943890"/>
    <w:rsid w:val="00952E66"/>
    <w:rsid w:val="00954705"/>
    <w:rsid w:val="0096066D"/>
    <w:rsid w:val="009632B0"/>
    <w:rsid w:val="0096448F"/>
    <w:rsid w:val="00986609"/>
    <w:rsid w:val="009875C7"/>
    <w:rsid w:val="009922B4"/>
    <w:rsid w:val="00995526"/>
    <w:rsid w:val="009B1797"/>
    <w:rsid w:val="009B1EAD"/>
    <w:rsid w:val="009B3DEE"/>
    <w:rsid w:val="009B59B2"/>
    <w:rsid w:val="009B6403"/>
    <w:rsid w:val="009C0BB5"/>
    <w:rsid w:val="009C1831"/>
    <w:rsid w:val="009C6240"/>
    <w:rsid w:val="009C7346"/>
    <w:rsid w:val="009C7ACB"/>
    <w:rsid w:val="009D3897"/>
    <w:rsid w:val="009E0894"/>
    <w:rsid w:val="009F7737"/>
    <w:rsid w:val="00A03388"/>
    <w:rsid w:val="00A03CA4"/>
    <w:rsid w:val="00A148CA"/>
    <w:rsid w:val="00A152BB"/>
    <w:rsid w:val="00A16122"/>
    <w:rsid w:val="00A162F1"/>
    <w:rsid w:val="00A20EC1"/>
    <w:rsid w:val="00A267BE"/>
    <w:rsid w:val="00A33465"/>
    <w:rsid w:val="00A4502A"/>
    <w:rsid w:val="00A460E0"/>
    <w:rsid w:val="00A51B18"/>
    <w:rsid w:val="00A54562"/>
    <w:rsid w:val="00A54D2B"/>
    <w:rsid w:val="00A60874"/>
    <w:rsid w:val="00A6365C"/>
    <w:rsid w:val="00A658B2"/>
    <w:rsid w:val="00A65F41"/>
    <w:rsid w:val="00A700A0"/>
    <w:rsid w:val="00A70153"/>
    <w:rsid w:val="00A71A4A"/>
    <w:rsid w:val="00A73BEB"/>
    <w:rsid w:val="00A810B5"/>
    <w:rsid w:val="00A825AA"/>
    <w:rsid w:val="00A82FFF"/>
    <w:rsid w:val="00A8364D"/>
    <w:rsid w:val="00A85E72"/>
    <w:rsid w:val="00A87E2C"/>
    <w:rsid w:val="00A95535"/>
    <w:rsid w:val="00A95855"/>
    <w:rsid w:val="00A9759E"/>
    <w:rsid w:val="00AA1FFF"/>
    <w:rsid w:val="00AA2291"/>
    <w:rsid w:val="00AA516E"/>
    <w:rsid w:val="00AC0094"/>
    <w:rsid w:val="00AC5997"/>
    <w:rsid w:val="00AD7298"/>
    <w:rsid w:val="00AE40E6"/>
    <w:rsid w:val="00AE5C5A"/>
    <w:rsid w:val="00AE5C99"/>
    <w:rsid w:val="00AF2892"/>
    <w:rsid w:val="00AF5A0F"/>
    <w:rsid w:val="00B01C05"/>
    <w:rsid w:val="00B10F77"/>
    <w:rsid w:val="00B12626"/>
    <w:rsid w:val="00B14312"/>
    <w:rsid w:val="00B154E8"/>
    <w:rsid w:val="00B2323E"/>
    <w:rsid w:val="00B23E95"/>
    <w:rsid w:val="00B31F37"/>
    <w:rsid w:val="00B3447E"/>
    <w:rsid w:val="00B37BA9"/>
    <w:rsid w:val="00B51050"/>
    <w:rsid w:val="00B52226"/>
    <w:rsid w:val="00B530BE"/>
    <w:rsid w:val="00B56400"/>
    <w:rsid w:val="00B7302D"/>
    <w:rsid w:val="00B7589E"/>
    <w:rsid w:val="00B77602"/>
    <w:rsid w:val="00B77CFF"/>
    <w:rsid w:val="00B83D41"/>
    <w:rsid w:val="00B84B59"/>
    <w:rsid w:val="00B9141D"/>
    <w:rsid w:val="00B9193C"/>
    <w:rsid w:val="00B9279E"/>
    <w:rsid w:val="00B94D3B"/>
    <w:rsid w:val="00B96968"/>
    <w:rsid w:val="00BA158D"/>
    <w:rsid w:val="00BA4D90"/>
    <w:rsid w:val="00BA6011"/>
    <w:rsid w:val="00BA64E2"/>
    <w:rsid w:val="00BB0ACB"/>
    <w:rsid w:val="00BB41CE"/>
    <w:rsid w:val="00BC0354"/>
    <w:rsid w:val="00BC2983"/>
    <w:rsid w:val="00BD3782"/>
    <w:rsid w:val="00BD3CC7"/>
    <w:rsid w:val="00BD5A7F"/>
    <w:rsid w:val="00BD7807"/>
    <w:rsid w:val="00BD7EA2"/>
    <w:rsid w:val="00BE219B"/>
    <w:rsid w:val="00BE26DE"/>
    <w:rsid w:val="00BE7720"/>
    <w:rsid w:val="00BE782E"/>
    <w:rsid w:val="00BE7CF9"/>
    <w:rsid w:val="00BF0612"/>
    <w:rsid w:val="00BF5CFA"/>
    <w:rsid w:val="00C06CB1"/>
    <w:rsid w:val="00C1063E"/>
    <w:rsid w:val="00C115DE"/>
    <w:rsid w:val="00C123FF"/>
    <w:rsid w:val="00C14490"/>
    <w:rsid w:val="00C205DE"/>
    <w:rsid w:val="00C21350"/>
    <w:rsid w:val="00C24313"/>
    <w:rsid w:val="00C2794D"/>
    <w:rsid w:val="00C32E6C"/>
    <w:rsid w:val="00C342BE"/>
    <w:rsid w:val="00C43011"/>
    <w:rsid w:val="00C5180E"/>
    <w:rsid w:val="00C5181B"/>
    <w:rsid w:val="00C521CE"/>
    <w:rsid w:val="00C54AC1"/>
    <w:rsid w:val="00C615B6"/>
    <w:rsid w:val="00C639DB"/>
    <w:rsid w:val="00C6688C"/>
    <w:rsid w:val="00C87DF9"/>
    <w:rsid w:val="00C914D0"/>
    <w:rsid w:val="00C91B9E"/>
    <w:rsid w:val="00C92BB6"/>
    <w:rsid w:val="00CB48EF"/>
    <w:rsid w:val="00CC2306"/>
    <w:rsid w:val="00CC4F8C"/>
    <w:rsid w:val="00CC704D"/>
    <w:rsid w:val="00CD4869"/>
    <w:rsid w:val="00CD7917"/>
    <w:rsid w:val="00CE396D"/>
    <w:rsid w:val="00CE475A"/>
    <w:rsid w:val="00CE68E0"/>
    <w:rsid w:val="00CE76BA"/>
    <w:rsid w:val="00CF0703"/>
    <w:rsid w:val="00CF4CDA"/>
    <w:rsid w:val="00D021C0"/>
    <w:rsid w:val="00D0416C"/>
    <w:rsid w:val="00D05362"/>
    <w:rsid w:val="00D074AE"/>
    <w:rsid w:val="00D111B9"/>
    <w:rsid w:val="00D17158"/>
    <w:rsid w:val="00D171D8"/>
    <w:rsid w:val="00D21EF6"/>
    <w:rsid w:val="00D26056"/>
    <w:rsid w:val="00D2617B"/>
    <w:rsid w:val="00D27BC0"/>
    <w:rsid w:val="00D3636A"/>
    <w:rsid w:val="00D442AC"/>
    <w:rsid w:val="00D51DD5"/>
    <w:rsid w:val="00D5562F"/>
    <w:rsid w:val="00D567D6"/>
    <w:rsid w:val="00D5729F"/>
    <w:rsid w:val="00D578D3"/>
    <w:rsid w:val="00D60EC4"/>
    <w:rsid w:val="00D620F2"/>
    <w:rsid w:val="00D625B2"/>
    <w:rsid w:val="00D62D52"/>
    <w:rsid w:val="00D64840"/>
    <w:rsid w:val="00D6597A"/>
    <w:rsid w:val="00D6798C"/>
    <w:rsid w:val="00D75329"/>
    <w:rsid w:val="00D77621"/>
    <w:rsid w:val="00D80D8E"/>
    <w:rsid w:val="00D81E60"/>
    <w:rsid w:val="00D914B9"/>
    <w:rsid w:val="00D9158A"/>
    <w:rsid w:val="00D97ACD"/>
    <w:rsid w:val="00DA318F"/>
    <w:rsid w:val="00DA601A"/>
    <w:rsid w:val="00DB22D9"/>
    <w:rsid w:val="00DB2DB9"/>
    <w:rsid w:val="00DB723B"/>
    <w:rsid w:val="00DC0935"/>
    <w:rsid w:val="00DC1047"/>
    <w:rsid w:val="00DC1FE4"/>
    <w:rsid w:val="00DC72C6"/>
    <w:rsid w:val="00DD276B"/>
    <w:rsid w:val="00DE0277"/>
    <w:rsid w:val="00DE21A6"/>
    <w:rsid w:val="00DE2DF0"/>
    <w:rsid w:val="00DE3AF9"/>
    <w:rsid w:val="00E01AFA"/>
    <w:rsid w:val="00E023F8"/>
    <w:rsid w:val="00E0285B"/>
    <w:rsid w:val="00E037C3"/>
    <w:rsid w:val="00E21B44"/>
    <w:rsid w:val="00E23D42"/>
    <w:rsid w:val="00E246FE"/>
    <w:rsid w:val="00E32EBB"/>
    <w:rsid w:val="00E334C7"/>
    <w:rsid w:val="00E34B6A"/>
    <w:rsid w:val="00E35ABF"/>
    <w:rsid w:val="00E36FC2"/>
    <w:rsid w:val="00E426E7"/>
    <w:rsid w:val="00E472CD"/>
    <w:rsid w:val="00E530C1"/>
    <w:rsid w:val="00E60354"/>
    <w:rsid w:val="00E6265C"/>
    <w:rsid w:val="00E74C34"/>
    <w:rsid w:val="00E80EE6"/>
    <w:rsid w:val="00E842BF"/>
    <w:rsid w:val="00E870CC"/>
    <w:rsid w:val="00E92314"/>
    <w:rsid w:val="00EA04CC"/>
    <w:rsid w:val="00EA75D6"/>
    <w:rsid w:val="00EB116F"/>
    <w:rsid w:val="00EB65AE"/>
    <w:rsid w:val="00EB6C65"/>
    <w:rsid w:val="00EB783E"/>
    <w:rsid w:val="00EC6B36"/>
    <w:rsid w:val="00ED1607"/>
    <w:rsid w:val="00ED2D40"/>
    <w:rsid w:val="00ED5E78"/>
    <w:rsid w:val="00EE074C"/>
    <w:rsid w:val="00EE4022"/>
    <w:rsid w:val="00EE730A"/>
    <w:rsid w:val="00EF3455"/>
    <w:rsid w:val="00EF509A"/>
    <w:rsid w:val="00EF704D"/>
    <w:rsid w:val="00F03306"/>
    <w:rsid w:val="00F066A3"/>
    <w:rsid w:val="00F0778D"/>
    <w:rsid w:val="00F10DEF"/>
    <w:rsid w:val="00F11577"/>
    <w:rsid w:val="00F14AFE"/>
    <w:rsid w:val="00F3163A"/>
    <w:rsid w:val="00F46658"/>
    <w:rsid w:val="00F52D67"/>
    <w:rsid w:val="00F549C8"/>
    <w:rsid w:val="00F569D6"/>
    <w:rsid w:val="00F57721"/>
    <w:rsid w:val="00F600F6"/>
    <w:rsid w:val="00F622F0"/>
    <w:rsid w:val="00F6499D"/>
    <w:rsid w:val="00F70BF9"/>
    <w:rsid w:val="00F765BD"/>
    <w:rsid w:val="00F80E93"/>
    <w:rsid w:val="00F92896"/>
    <w:rsid w:val="00FA2B3B"/>
    <w:rsid w:val="00FA5DAC"/>
    <w:rsid w:val="00FB2437"/>
    <w:rsid w:val="00FB5042"/>
    <w:rsid w:val="00FC2616"/>
    <w:rsid w:val="00FC48F3"/>
    <w:rsid w:val="00FC7AE8"/>
    <w:rsid w:val="00FD0CB6"/>
    <w:rsid w:val="00FD11AD"/>
    <w:rsid w:val="00FD277F"/>
    <w:rsid w:val="00FD2E4D"/>
    <w:rsid w:val="00FD302A"/>
    <w:rsid w:val="00FD57C9"/>
    <w:rsid w:val="00FD71B8"/>
    <w:rsid w:val="00FE2072"/>
    <w:rsid w:val="00FE6C0C"/>
    <w:rsid w:val="00FE7B21"/>
    <w:rsid w:val="00FF101B"/>
    <w:rsid w:val="00FF2A1D"/>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B0D151-701C-404D-BCC3-81B18034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676"/>
    <w:rPr>
      <w:rFonts w:ascii="Calibri" w:eastAsia="Calibri" w:hAnsi="Calibri" w:cs="Times New Roman"/>
    </w:rPr>
  </w:style>
  <w:style w:type="paragraph" w:styleId="Heading1">
    <w:name w:val="heading 1"/>
    <w:basedOn w:val="Normal"/>
    <w:next w:val="Normal"/>
    <w:link w:val="Heading1Char"/>
    <w:qFormat/>
    <w:rsid w:val="00804539"/>
    <w:pPr>
      <w:keepNext/>
      <w:keepLines/>
      <w:widowControl w:val="0"/>
      <w:suppressAutoHyphens/>
      <w:spacing w:after="0" w:line="240" w:lineRule="auto"/>
      <w:ind w:left="432" w:hanging="432"/>
      <w:outlineLvl w:val="0"/>
    </w:pPr>
    <w:rPr>
      <w:rFonts w:ascii="Arial" w:eastAsia="Arial Unicode MS" w:hAnsi="Arial" w:cs="Arial"/>
      <w:b/>
      <w:bCs/>
      <w:kern w:val="32"/>
      <w:lang w:val="sv-SE"/>
    </w:rPr>
  </w:style>
  <w:style w:type="paragraph" w:styleId="Heading2">
    <w:name w:val="heading 2"/>
    <w:basedOn w:val="Normal"/>
    <w:next w:val="Normal"/>
    <w:link w:val="Heading2Char"/>
    <w:qFormat/>
    <w:rsid w:val="00CD4869"/>
    <w:pPr>
      <w:keepNext/>
      <w:suppressAutoHyphens/>
      <w:spacing w:before="240" w:after="60"/>
      <w:outlineLvl w:val="1"/>
    </w:pPr>
    <w:rPr>
      <w:rFonts w:ascii="Arial" w:eastAsia="Arial Unicode MS" w:hAnsi="Arial" w:cs="Arial"/>
      <w:bCs/>
      <w:iCs/>
      <w:kern w:val="1"/>
    </w:rPr>
  </w:style>
  <w:style w:type="paragraph" w:styleId="Heading3">
    <w:name w:val="heading 3"/>
    <w:basedOn w:val="Normal"/>
    <w:next w:val="Normal"/>
    <w:link w:val="Heading3Char"/>
    <w:qFormat/>
    <w:rsid w:val="002E4676"/>
    <w:pPr>
      <w:keepNext/>
      <w:spacing w:after="0" w:line="240" w:lineRule="auto"/>
      <w:jc w:val="center"/>
      <w:outlineLvl w:val="2"/>
    </w:pPr>
    <w:rPr>
      <w:rFonts w:ascii="Times New Roman" w:eastAsia="Times New Roman" w:hAnsi="Times New Roman"/>
      <w:sz w:val="28"/>
      <w:szCs w:val="24"/>
    </w:rPr>
  </w:style>
  <w:style w:type="paragraph" w:styleId="Heading4">
    <w:name w:val="heading 4"/>
    <w:basedOn w:val="Normal"/>
    <w:next w:val="Normal"/>
    <w:link w:val="Heading4Char"/>
    <w:qFormat/>
    <w:rsid w:val="002E4676"/>
    <w:pPr>
      <w:keepNext/>
      <w:spacing w:after="0" w:line="240" w:lineRule="auto"/>
      <w:ind w:left="2880" w:firstLine="720"/>
      <w:outlineLvl w:val="3"/>
    </w:pPr>
    <w:rPr>
      <w:rFonts w:ascii="Times New Roman" w:eastAsia="Times New Roman" w:hAnsi="Times New Roman"/>
      <w:sz w:val="28"/>
      <w:szCs w:val="24"/>
    </w:rPr>
  </w:style>
  <w:style w:type="paragraph" w:styleId="Heading5">
    <w:name w:val="heading 5"/>
    <w:basedOn w:val="Normal"/>
    <w:next w:val="Normal"/>
    <w:link w:val="Heading5Char"/>
    <w:qFormat/>
    <w:rsid w:val="002E4676"/>
    <w:pPr>
      <w:keepNext/>
      <w:spacing w:after="0" w:line="240" w:lineRule="auto"/>
      <w:outlineLvl w:val="4"/>
    </w:pPr>
    <w:rPr>
      <w:rFonts w:ascii="Times New Roman" w:eastAsia="Times New Roman" w:hAnsi="Times New Roman"/>
      <w:sz w:val="28"/>
      <w:szCs w:val="24"/>
      <w:lang w:val="hr-HR"/>
    </w:rPr>
  </w:style>
  <w:style w:type="paragraph" w:styleId="Heading6">
    <w:name w:val="heading 6"/>
    <w:basedOn w:val="Normal"/>
    <w:next w:val="Normal"/>
    <w:link w:val="Heading6Char"/>
    <w:semiHidden/>
    <w:unhideWhenUsed/>
    <w:qFormat/>
    <w:rsid w:val="002E4676"/>
    <w:pPr>
      <w:suppressAutoHyphens/>
      <w:spacing w:before="240" w:after="60"/>
      <w:ind w:left="1152" w:hanging="1152"/>
      <w:outlineLvl w:val="5"/>
    </w:pPr>
    <w:rPr>
      <w:rFonts w:eastAsia="Times New Roman"/>
      <w:b/>
      <w:bCs/>
      <w:kern w:val="1"/>
    </w:rPr>
  </w:style>
  <w:style w:type="paragraph" w:styleId="Heading7">
    <w:name w:val="heading 7"/>
    <w:basedOn w:val="Normal"/>
    <w:next w:val="Normal"/>
    <w:link w:val="Heading7Char"/>
    <w:qFormat/>
    <w:rsid w:val="002E4676"/>
    <w:pPr>
      <w:keepNext/>
      <w:spacing w:after="0" w:line="240" w:lineRule="auto"/>
      <w:jc w:val="center"/>
      <w:outlineLvl w:val="6"/>
    </w:pPr>
    <w:rPr>
      <w:rFonts w:ascii="Times New Roman" w:eastAsia="Times New Roman" w:hAnsi="Times New Roman"/>
      <w:b/>
      <w:bCs/>
      <w:sz w:val="28"/>
      <w:szCs w:val="24"/>
    </w:rPr>
  </w:style>
  <w:style w:type="paragraph" w:styleId="Heading8">
    <w:name w:val="heading 8"/>
    <w:basedOn w:val="Normal"/>
    <w:next w:val="Normal"/>
    <w:link w:val="Heading8Char"/>
    <w:qFormat/>
    <w:rsid w:val="002E4676"/>
    <w:pPr>
      <w:keepNext/>
      <w:spacing w:after="0" w:line="240" w:lineRule="auto"/>
      <w:jc w:val="both"/>
      <w:outlineLvl w:val="7"/>
    </w:pPr>
    <w:rPr>
      <w:rFonts w:ascii="Times New Roman" w:eastAsia="Times New Roman" w:hAnsi="Times New Roman"/>
      <w:b/>
      <w:bCs/>
      <w:sz w:val="28"/>
      <w:szCs w:val="24"/>
    </w:rPr>
  </w:style>
  <w:style w:type="paragraph" w:styleId="Heading9">
    <w:name w:val="heading 9"/>
    <w:basedOn w:val="Normal"/>
    <w:next w:val="Normal"/>
    <w:link w:val="Heading9Char"/>
    <w:qFormat/>
    <w:rsid w:val="002E4676"/>
    <w:pPr>
      <w:keepNext/>
      <w:spacing w:after="0" w:line="240" w:lineRule="auto"/>
      <w:jc w:val="both"/>
      <w:outlineLvl w:val="8"/>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4539"/>
    <w:rPr>
      <w:rFonts w:ascii="Arial" w:eastAsia="Arial Unicode MS" w:hAnsi="Arial" w:cs="Arial"/>
      <w:b/>
      <w:bCs/>
      <w:kern w:val="32"/>
      <w:lang w:val="sv-SE"/>
    </w:rPr>
  </w:style>
  <w:style w:type="character" w:customStyle="1" w:styleId="Heading2Char">
    <w:name w:val="Heading 2 Char"/>
    <w:basedOn w:val="DefaultParagraphFont"/>
    <w:link w:val="Heading2"/>
    <w:rsid w:val="00CD4869"/>
    <w:rPr>
      <w:rFonts w:ascii="Arial" w:eastAsia="Arial Unicode MS" w:hAnsi="Arial" w:cs="Arial"/>
      <w:bCs/>
      <w:iCs/>
      <w:kern w:val="1"/>
    </w:rPr>
  </w:style>
  <w:style w:type="character" w:customStyle="1" w:styleId="Heading3Char">
    <w:name w:val="Heading 3 Char"/>
    <w:basedOn w:val="DefaultParagraphFont"/>
    <w:link w:val="Heading3"/>
    <w:rsid w:val="002E4676"/>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2E4676"/>
    <w:rPr>
      <w:rFonts w:ascii="Times New Roman" w:eastAsia="Times New Roman" w:hAnsi="Times New Roman" w:cs="Times New Roman"/>
      <w:sz w:val="28"/>
      <w:szCs w:val="24"/>
    </w:rPr>
  </w:style>
  <w:style w:type="character" w:customStyle="1" w:styleId="Heading5Char">
    <w:name w:val="Heading 5 Char"/>
    <w:basedOn w:val="DefaultParagraphFont"/>
    <w:link w:val="Heading5"/>
    <w:rsid w:val="002E4676"/>
    <w:rPr>
      <w:rFonts w:ascii="Times New Roman" w:eastAsia="Times New Roman" w:hAnsi="Times New Roman" w:cs="Times New Roman"/>
      <w:sz w:val="28"/>
      <w:szCs w:val="24"/>
      <w:lang w:val="hr-HR"/>
    </w:rPr>
  </w:style>
  <w:style w:type="character" w:customStyle="1" w:styleId="Heading6Char">
    <w:name w:val="Heading 6 Char"/>
    <w:basedOn w:val="DefaultParagraphFont"/>
    <w:link w:val="Heading6"/>
    <w:semiHidden/>
    <w:rsid w:val="002E4676"/>
    <w:rPr>
      <w:rFonts w:ascii="Calibri" w:eastAsia="Times New Roman" w:hAnsi="Calibri" w:cs="Times New Roman"/>
      <w:b/>
      <w:bCs/>
      <w:kern w:val="1"/>
    </w:rPr>
  </w:style>
  <w:style w:type="character" w:customStyle="1" w:styleId="Heading7Char">
    <w:name w:val="Heading 7 Char"/>
    <w:basedOn w:val="DefaultParagraphFont"/>
    <w:link w:val="Heading7"/>
    <w:rsid w:val="002E4676"/>
    <w:rPr>
      <w:rFonts w:ascii="Times New Roman" w:eastAsia="Times New Roman" w:hAnsi="Times New Roman" w:cs="Times New Roman"/>
      <w:b/>
      <w:bCs/>
      <w:sz w:val="28"/>
      <w:szCs w:val="24"/>
    </w:rPr>
  </w:style>
  <w:style w:type="character" w:customStyle="1" w:styleId="Heading8Char">
    <w:name w:val="Heading 8 Char"/>
    <w:basedOn w:val="DefaultParagraphFont"/>
    <w:link w:val="Heading8"/>
    <w:rsid w:val="002E4676"/>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rsid w:val="002E4676"/>
    <w:rPr>
      <w:rFonts w:ascii="Times New Roman" w:eastAsia="Times New Roman" w:hAnsi="Times New Roman" w:cs="Times New Roman"/>
      <w:sz w:val="28"/>
      <w:szCs w:val="24"/>
    </w:rPr>
  </w:style>
  <w:style w:type="paragraph" w:styleId="BalloonText">
    <w:name w:val="Balloon Text"/>
    <w:basedOn w:val="Normal"/>
    <w:link w:val="BalloonTextChar"/>
    <w:unhideWhenUsed/>
    <w:rsid w:val="002E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4676"/>
    <w:rPr>
      <w:rFonts w:ascii="Tahoma" w:eastAsia="Calibri" w:hAnsi="Tahoma" w:cs="Tahoma"/>
      <w:sz w:val="16"/>
      <w:szCs w:val="16"/>
    </w:rPr>
  </w:style>
  <w:style w:type="paragraph" w:styleId="ListParagraph">
    <w:name w:val="List Paragraph"/>
    <w:basedOn w:val="Normal"/>
    <w:uiPriority w:val="99"/>
    <w:qFormat/>
    <w:rsid w:val="002E4676"/>
    <w:pPr>
      <w:ind w:left="720"/>
      <w:contextualSpacing/>
    </w:pPr>
  </w:style>
  <w:style w:type="table" w:styleId="TableGrid">
    <w:name w:val="Table Grid"/>
    <w:basedOn w:val="TableNormal"/>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2E4676"/>
    <w:pPr>
      <w:spacing w:after="120" w:line="240" w:lineRule="auto"/>
    </w:pPr>
    <w:rPr>
      <w:rFonts w:ascii="Times New Roman" w:eastAsia="Times New Roman" w:hAnsi="Times New Roman"/>
      <w:sz w:val="16"/>
      <w:szCs w:val="16"/>
      <w:lang w:val="sr-Cyrl-CS" w:eastAsia="sr-Cyrl-CS"/>
    </w:rPr>
  </w:style>
  <w:style w:type="character" w:customStyle="1" w:styleId="BodyText3Char">
    <w:name w:val="Body Text 3 Char"/>
    <w:basedOn w:val="DefaultParagraphFont"/>
    <w:link w:val="BodyText3"/>
    <w:rsid w:val="002E4676"/>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2E4676"/>
    <w:pPr>
      <w:spacing w:after="120"/>
    </w:pPr>
  </w:style>
  <w:style w:type="character" w:customStyle="1" w:styleId="BodyTextChar">
    <w:name w:val="Body Text Char"/>
    <w:basedOn w:val="DefaultParagraphFont"/>
    <w:link w:val="BodyText"/>
    <w:rsid w:val="002E4676"/>
    <w:rPr>
      <w:rFonts w:ascii="Calibri" w:eastAsia="Calibri" w:hAnsi="Calibri" w:cs="Times New Roman"/>
    </w:rPr>
  </w:style>
  <w:style w:type="paragraph" w:styleId="Header">
    <w:name w:val="header"/>
    <w:basedOn w:val="Normal"/>
    <w:link w:val="HeaderChar"/>
    <w:uiPriority w:val="99"/>
    <w:unhideWhenUsed/>
    <w:rsid w:val="002E4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676"/>
    <w:rPr>
      <w:rFonts w:ascii="Calibri" w:eastAsia="Calibri" w:hAnsi="Calibri" w:cs="Times New Roman"/>
    </w:rPr>
  </w:style>
  <w:style w:type="paragraph" w:styleId="Footer">
    <w:name w:val="footer"/>
    <w:basedOn w:val="Normal"/>
    <w:link w:val="FooterChar"/>
    <w:uiPriority w:val="99"/>
    <w:unhideWhenUsed/>
    <w:rsid w:val="002E4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676"/>
    <w:rPr>
      <w:rFonts w:ascii="Calibri" w:eastAsia="Calibri" w:hAnsi="Calibri" w:cs="Times New Roman"/>
    </w:rPr>
  </w:style>
  <w:style w:type="paragraph" w:styleId="TOC1">
    <w:name w:val="toc 1"/>
    <w:basedOn w:val="Normal"/>
    <w:next w:val="Normal"/>
    <w:autoRedefine/>
    <w:uiPriority w:val="39"/>
    <w:rsid w:val="002E4676"/>
    <w:pPr>
      <w:suppressAutoHyphens/>
    </w:pPr>
    <w:rPr>
      <w:rFonts w:eastAsia="Arial Unicode MS" w:cs="Calibri"/>
      <w:kern w:val="1"/>
    </w:rPr>
  </w:style>
  <w:style w:type="paragraph" w:styleId="TOC2">
    <w:name w:val="toc 2"/>
    <w:basedOn w:val="Normal"/>
    <w:next w:val="Normal"/>
    <w:autoRedefine/>
    <w:uiPriority w:val="39"/>
    <w:rsid w:val="002E4676"/>
    <w:pPr>
      <w:tabs>
        <w:tab w:val="left" w:pos="880"/>
        <w:tab w:val="right" w:leader="dot" w:pos="9911"/>
      </w:tabs>
      <w:suppressAutoHyphens/>
    </w:pPr>
    <w:rPr>
      <w:rFonts w:eastAsia="Arial Unicode MS" w:cs="Calibri"/>
      <w:kern w:val="1"/>
    </w:rPr>
  </w:style>
  <w:style w:type="paragraph" w:styleId="TOC3">
    <w:name w:val="toc 3"/>
    <w:basedOn w:val="Normal"/>
    <w:next w:val="Normal"/>
    <w:autoRedefine/>
    <w:uiPriority w:val="39"/>
    <w:rsid w:val="002E4676"/>
    <w:pPr>
      <w:suppressAutoHyphens/>
      <w:ind w:left="440"/>
    </w:pPr>
    <w:rPr>
      <w:rFonts w:eastAsia="Arial Unicode MS" w:cs="Calibri"/>
      <w:kern w:val="1"/>
    </w:rPr>
  </w:style>
  <w:style w:type="character" w:styleId="Hyperlink">
    <w:name w:val="Hyperlink"/>
    <w:basedOn w:val="DefaultParagraphFont"/>
    <w:uiPriority w:val="99"/>
    <w:unhideWhenUsed/>
    <w:rsid w:val="002E4676"/>
    <w:rPr>
      <w:color w:val="0000FF"/>
      <w:u w:val="single"/>
    </w:rPr>
  </w:style>
  <w:style w:type="table" w:customStyle="1" w:styleId="TableGrid1">
    <w:name w:val="Table Grid1"/>
    <w:basedOn w:val="TableNormal"/>
    <w:next w:val="TableGrid"/>
    <w:uiPriority w:val="59"/>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2E4676"/>
    <w:pPr>
      <w:suppressAutoHyphens w:val="0"/>
      <w:spacing w:before="480"/>
      <w:outlineLvl w:val="9"/>
    </w:pPr>
    <w:rPr>
      <w:rFonts w:ascii="Cambria" w:eastAsia="Times New Roman" w:hAnsi="Cambria" w:cs="Times New Roman"/>
      <w:color w:val="365F91"/>
      <w:kern w:val="0"/>
      <w:sz w:val="28"/>
      <w:szCs w:val="28"/>
    </w:rPr>
  </w:style>
  <w:style w:type="paragraph" w:customStyle="1" w:styleId="Default">
    <w:name w:val="Default"/>
    <w:rsid w:val="00A85E72"/>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A85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ED2D40"/>
    <w:pPr>
      <w:spacing w:after="0" w:line="240" w:lineRule="auto"/>
    </w:pPr>
    <w:rPr>
      <w:rFonts w:eastAsiaTheme="minorEastAsia"/>
    </w:rPr>
  </w:style>
  <w:style w:type="character" w:customStyle="1" w:styleId="NoSpacingChar">
    <w:name w:val="No Spacing Char"/>
    <w:basedOn w:val="DefaultParagraphFont"/>
    <w:link w:val="NoSpacing"/>
    <w:uiPriority w:val="1"/>
    <w:rsid w:val="00ED2D40"/>
    <w:rPr>
      <w:rFonts w:eastAsiaTheme="minorEastAsia"/>
    </w:rPr>
  </w:style>
  <w:style w:type="paragraph" w:styleId="NormalWeb">
    <w:name w:val="Normal (Web)"/>
    <w:basedOn w:val="Normal"/>
    <w:uiPriority w:val="99"/>
    <w:semiHidden/>
    <w:unhideWhenUsed/>
    <w:rsid w:val="00925256"/>
    <w:pPr>
      <w:spacing w:before="100" w:beforeAutospacing="1" w:after="225" w:line="240" w:lineRule="auto"/>
    </w:pPr>
    <w:rPr>
      <w:rFonts w:ascii="Open Sans" w:eastAsia="Times New Roman" w:hAnsi="Open Sans"/>
      <w:sz w:val="23"/>
      <w:szCs w:val="23"/>
    </w:rPr>
  </w:style>
  <w:style w:type="paragraph" w:styleId="BodyTextIndent">
    <w:name w:val="Body Text Indent"/>
    <w:basedOn w:val="Normal"/>
    <w:link w:val="BodyTextIndentChar"/>
    <w:uiPriority w:val="99"/>
    <w:semiHidden/>
    <w:unhideWhenUsed/>
    <w:rsid w:val="0003619E"/>
    <w:pPr>
      <w:spacing w:after="120"/>
      <w:ind w:left="283"/>
    </w:pPr>
  </w:style>
  <w:style w:type="character" w:customStyle="1" w:styleId="BodyTextIndentChar">
    <w:name w:val="Body Text Indent Char"/>
    <w:basedOn w:val="DefaultParagraphFont"/>
    <w:link w:val="BodyTextIndent"/>
    <w:uiPriority w:val="99"/>
    <w:semiHidden/>
    <w:rsid w:val="0003619E"/>
    <w:rPr>
      <w:rFonts w:ascii="Calibri" w:eastAsia="Calibri" w:hAnsi="Calibri" w:cs="Times New Roman"/>
    </w:rPr>
  </w:style>
  <w:style w:type="paragraph" w:styleId="BodyText2">
    <w:name w:val="Body Text 2"/>
    <w:basedOn w:val="Normal"/>
    <w:link w:val="BodyText2Char"/>
    <w:uiPriority w:val="99"/>
    <w:semiHidden/>
    <w:unhideWhenUsed/>
    <w:rsid w:val="00776DB7"/>
    <w:pPr>
      <w:spacing w:after="120" w:line="480" w:lineRule="auto"/>
    </w:pPr>
  </w:style>
  <w:style w:type="character" w:customStyle="1" w:styleId="BodyText2Char">
    <w:name w:val="Body Text 2 Char"/>
    <w:basedOn w:val="DefaultParagraphFont"/>
    <w:link w:val="BodyText2"/>
    <w:uiPriority w:val="99"/>
    <w:semiHidden/>
    <w:rsid w:val="00776D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5314">
      <w:bodyDiv w:val="1"/>
      <w:marLeft w:val="0"/>
      <w:marRight w:val="0"/>
      <w:marTop w:val="0"/>
      <w:marBottom w:val="0"/>
      <w:divBdr>
        <w:top w:val="none" w:sz="0" w:space="0" w:color="auto"/>
        <w:left w:val="none" w:sz="0" w:space="0" w:color="auto"/>
        <w:bottom w:val="none" w:sz="0" w:space="0" w:color="auto"/>
        <w:right w:val="none" w:sz="0" w:space="0" w:color="auto"/>
      </w:divBdr>
    </w:div>
    <w:div w:id="803893127">
      <w:bodyDiv w:val="1"/>
      <w:marLeft w:val="0"/>
      <w:marRight w:val="0"/>
      <w:marTop w:val="0"/>
      <w:marBottom w:val="0"/>
      <w:divBdr>
        <w:top w:val="none" w:sz="0" w:space="0" w:color="auto"/>
        <w:left w:val="none" w:sz="0" w:space="0" w:color="auto"/>
        <w:bottom w:val="none" w:sz="0" w:space="0" w:color="auto"/>
        <w:right w:val="none" w:sz="0" w:space="0" w:color="auto"/>
      </w:divBdr>
    </w:div>
    <w:div w:id="1235701024">
      <w:bodyDiv w:val="1"/>
      <w:marLeft w:val="0"/>
      <w:marRight w:val="0"/>
      <w:marTop w:val="0"/>
      <w:marBottom w:val="0"/>
      <w:divBdr>
        <w:top w:val="none" w:sz="0" w:space="0" w:color="auto"/>
        <w:left w:val="none" w:sz="0" w:space="0" w:color="auto"/>
        <w:bottom w:val="none" w:sz="0" w:space="0" w:color="auto"/>
        <w:right w:val="none" w:sz="0" w:space="0" w:color="auto"/>
      </w:divBdr>
    </w:div>
    <w:div w:id="15129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76DD5-0E2B-45B2-AB55-927CA6E3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27</Pages>
  <Words>9990</Words>
  <Characters>56949</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nebojsa.koprivica</dc:creator>
  <cp:lastModifiedBy>Nebojsa Koprivica</cp:lastModifiedBy>
  <cp:revision>97</cp:revision>
  <cp:lastPrinted>2019-11-15T07:23:00Z</cp:lastPrinted>
  <dcterms:created xsi:type="dcterms:W3CDTF">2019-08-08T11:38:00Z</dcterms:created>
  <dcterms:modified xsi:type="dcterms:W3CDTF">2020-03-03T07:45:00Z</dcterms:modified>
</cp:coreProperties>
</file>